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val="0"/>
        <w:adjustRightInd w:val="0"/>
        <w:snapToGrid w:val="0"/>
        <w:spacing w:before="0" w:beforeAutospacing="0" w:after="0" w:afterAutospacing="0" w:line="400" w:lineRule="atLeast"/>
        <w:ind w:left="0" w:right="0" w:firstLine="420" w:firstLineChars="200"/>
        <w:jc w:val="both"/>
        <w:rPr>
          <w:rFonts w:hint="eastAsia" w:ascii="仿宋_GB2312" w:hAnsi="仿宋_GB2312" w:eastAsia="仿宋_GB2312" w:cs="仿宋_GB2312"/>
          <w:color w:val="auto"/>
          <w:kern w:val="2"/>
          <w:sz w:val="21"/>
          <w:szCs w:val="21"/>
          <w:highlight w:val="none"/>
          <w:lang w:val="en-US"/>
        </w:rPr>
      </w:pPr>
      <w:r>
        <w:rPr>
          <w:rFonts w:hint="eastAsia" w:ascii="黑体" w:eastAsia="黑体"/>
          <w:position w:val="4"/>
          <w:sz w:val="32"/>
          <w:szCs w:val="32"/>
        </w:rPr>
        <w:t xml:space="preserve"> </w:t>
      </w:r>
    </w:p>
    <w:p>
      <w:pPr>
        <w:widowControl w:val="0"/>
        <w:spacing w:afterAutospacing="0" w:line="580" w:lineRule="exact"/>
        <w:ind w:firstLine="0" w:firstLineChars="0"/>
        <w:jc w:val="both"/>
        <w:rPr>
          <w:rFonts w:hint="eastAsia" w:ascii="黑体" w:hAnsi="黑体" w:eastAsia="黑体" w:cs="黑体"/>
          <w:color w:val="auto"/>
          <w:kern w:val="2"/>
          <w:sz w:val="32"/>
          <w:szCs w:val="32"/>
          <w:highlight w:val="none"/>
          <w:shd w:val="clear" w:color="auto" w:fill="FFFFFF"/>
          <w:lang w:val="en-US" w:eastAsia="zh-CN" w:bidi="ar-SA"/>
        </w:rPr>
      </w:pPr>
      <w:r>
        <w:rPr>
          <w:rFonts w:hint="eastAsia" w:ascii="黑体" w:hAnsi="黑体" w:eastAsia="黑体" w:cs="黑体"/>
          <w:color w:val="auto"/>
          <w:kern w:val="2"/>
          <w:sz w:val="32"/>
          <w:szCs w:val="32"/>
          <w:highlight w:val="none"/>
          <w:shd w:val="clear" w:color="auto" w:fill="FFFFFF"/>
          <w:lang w:val="en-US" w:eastAsia="zh-CN" w:bidi="ar-SA"/>
        </w:rPr>
        <w:t>附件4</w:t>
      </w:r>
    </w:p>
    <w:p>
      <w:pPr>
        <w:widowControl w:val="0"/>
        <w:adjustRightInd w:val="0"/>
        <w:snapToGrid w:val="0"/>
        <w:spacing w:before="0" w:beforeAutospacing="0" w:after="0" w:afterAutospacing="0" w:line="600" w:lineRule="atLeast"/>
        <w:ind w:left="0" w:right="0" w:firstLine="0" w:firstLineChars="0"/>
        <w:jc w:val="center"/>
        <w:rPr>
          <w:rFonts w:hint="eastAsia" w:ascii="方正小标宋简体" w:hAnsi="方正小标宋简体" w:eastAsia="方正小标宋简体" w:cs="方正小标宋简体"/>
          <w:color w:val="auto"/>
          <w:kern w:val="2"/>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rPr>
        <w:t>福建省近零碳工厂验收评价表</w:t>
      </w:r>
    </w:p>
    <w:p>
      <w:pPr>
        <w:widowControl w:val="0"/>
        <w:spacing w:afterAutospacing="0" w:line="580" w:lineRule="exact"/>
        <w:ind w:firstLine="0" w:firstLineChars="0"/>
        <w:jc w:val="both"/>
        <w:rPr>
          <w:rFonts w:hint="eastAsia" w:ascii="仿宋_GB2312" w:hAnsi="仿宋_GB2312" w:eastAsia="仿宋_GB2312" w:cs="仿宋_GB2312"/>
          <w:color w:val="auto"/>
          <w:kern w:val="2"/>
          <w:sz w:val="32"/>
          <w:szCs w:val="32"/>
          <w:highlight w:val="none"/>
          <w:shd w:val="clear" w:color="auto" w:fill="FFFFFF"/>
          <w:lang w:val="en-US" w:eastAsia="zh-CN" w:bidi="ar-SA"/>
        </w:rPr>
      </w:pPr>
      <w:r>
        <w:rPr>
          <w:rFonts w:hint="eastAsia" w:ascii="仿宋_GB2312" w:hAnsi="仿宋_GB2312" w:eastAsia="仿宋_GB2312" w:cs="仿宋_GB2312"/>
          <w:color w:val="auto"/>
          <w:kern w:val="2"/>
          <w:sz w:val="32"/>
          <w:szCs w:val="32"/>
          <w:highlight w:val="none"/>
          <w:shd w:val="clear" w:color="auto" w:fill="FFFFFF"/>
          <w:lang w:val="en-US" w:eastAsia="zh-CN" w:bidi="ar-SA"/>
        </w:rPr>
        <w:t>企业名称：</w:t>
      </w:r>
    </w:p>
    <w:tbl>
      <w:tblPr>
        <w:tblW w:w="942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88"/>
        <w:gridCol w:w="532"/>
        <w:gridCol w:w="1201"/>
        <w:gridCol w:w="748"/>
        <w:gridCol w:w="4918"/>
        <w:gridCol w:w="473"/>
        <w:gridCol w:w="7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20"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序号</w:t>
            </w:r>
          </w:p>
        </w:tc>
        <w:tc>
          <w:tcPr>
            <w:tcW w:w="1949" w:type="dxa"/>
            <w:gridSpan w:val="2"/>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val="0"/>
              <w:spacing w:before="0" w:beforeAutospacing="0" w:after="0" w:afterAutospacing="0" w:line="280" w:lineRule="exact"/>
              <w:ind w:left="0" w:right="0"/>
              <w:jc w:val="center"/>
              <w:textAlignment w:val="auto"/>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评价指标</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评价要求</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是否</w:t>
            </w:r>
          </w:p>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符合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restart"/>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否</w:t>
            </w: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决</w:t>
            </w: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项</w:t>
            </w:r>
          </w:p>
        </w:tc>
        <w:tc>
          <w:tcPr>
            <w:tcW w:w="532"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w:t>
            </w:r>
          </w:p>
        </w:tc>
        <w:tc>
          <w:tcPr>
            <w:tcW w:w="1949" w:type="dxa"/>
            <w:gridSpan w:val="2"/>
            <w:vMerge w:val="restart"/>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基本条件</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福建省内依法开展生产经营活动的规模以上</w:t>
            </w:r>
            <w:bookmarkStart w:id="0" w:name="_GoBack"/>
            <w:bookmarkEnd w:id="0"/>
            <w:r>
              <w:rPr>
                <w:rFonts w:hint="eastAsia" w:ascii="仿宋_GB2312" w:hAnsi="仿宋_GB2312" w:eastAsia="仿宋_GB2312" w:cs="仿宋_GB2312"/>
                <w:b w:val="0"/>
                <w:bCs w:val="0"/>
                <w:color w:val="000000"/>
                <w:kern w:val="0"/>
                <w:sz w:val="24"/>
                <w:szCs w:val="24"/>
                <w:highlight w:val="none"/>
                <w:lang w:val="en-US" w:eastAsia="zh-CN" w:bidi="ar-SA"/>
              </w:rPr>
              <w:t>制造业企业。</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2</w:t>
            </w:r>
          </w:p>
        </w:tc>
        <w:tc>
          <w:tcPr>
            <w:tcW w:w="1949" w:type="dxa"/>
            <w:gridSpan w:val="2"/>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符合国家产业政策要求，未使用国家明令禁止或者列入限制、淘汰目录的落后工艺、设备和产品。</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3</w:t>
            </w:r>
          </w:p>
        </w:tc>
        <w:tc>
          <w:tcPr>
            <w:tcW w:w="1949" w:type="dxa"/>
            <w:gridSpan w:val="2"/>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近36个月无安全（含网络安全、数据安全）、质量、环境污染等事故，无节能、环保、偷漏税等违法违规行为（以“信用中国”为准），不属于失信被执行人</w:t>
            </w:r>
            <w:r>
              <w:rPr>
                <w:rFonts w:hint="eastAsia" w:ascii="仿宋_GB2312" w:hAnsi="仿宋_GB2312" w:eastAsia="仿宋_GB2312" w:cs="仿宋_GB2312"/>
                <w:b w:val="0"/>
                <w:bCs w:val="0"/>
                <w:color w:val="000000"/>
                <w:kern w:val="0"/>
                <w:sz w:val="24"/>
                <w:szCs w:val="24"/>
                <w:highlight w:val="none"/>
                <w:lang w:val="en-US" w:eastAsia="zh-CN" w:bidi="ar-SA"/>
              </w:rPr>
              <w:t>。</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4</w:t>
            </w:r>
          </w:p>
        </w:tc>
        <w:tc>
          <w:tcPr>
            <w:tcW w:w="1949" w:type="dxa"/>
            <w:gridSpan w:val="2"/>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近36个月未在国务院及有关部门相关督查工作中被发现存在严重问题，未被列入工业节能监察整改名单或已按要求完成整改。</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1949" w:type="dxa"/>
            <w:gridSpan w:val="2"/>
            <w:vMerge w:val="continue"/>
            <w:tcBorders>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严格遵守国家和地方绿色低碳循环利用相关法律法规、政策、标准和相关规定。</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6</w:t>
            </w:r>
          </w:p>
        </w:tc>
        <w:tc>
          <w:tcPr>
            <w:tcW w:w="1949"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能效水平</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单位产品、工序能耗应达到相关行业强制性能耗和碳排放限额国家标准（如有）的1级或先进值或福建省能源消耗和碳排放限额地方标准的先进值（适用时）。涉及工业重点领域产品的，企业的能效水平应达到《工业重点领域能效标杆水平和基准水平》的能效标杆水平。</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7</w:t>
            </w:r>
          </w:p>
        </w:tc>
        <w:tc>
          <w:tcPr>
            <w:tcW w:w="1949" w:type="dxa"/>
            <w:gridSpan w:val="2"/>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碳削减</w:t>
            </w:r>
          </w:p>
        </w:tc>
        <w:tc>
          <w:tcPr>
            <w:tcW w:w="4918"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培育期内年碳排放量保持下降且碳削减率不低于5%（以未抵消的碳排放量计算）。</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jc w:val="center"/>
        </w:trPr>
        <w:tc>
          <w:tcPr>
            <w:tcW w:w="788" w:type="dxa"/>
            <w:vMerge w:val="continue"/>
            <w:tcBorders>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8</w:t>
            </w:r>
          </w:p>
        </w:tc>
        <w:tc>
          <w:tcPr>
            <w:tcW w:w="1949"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能耗规模及</w:t>
            </w:r>
          </w:p>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绿色化水平</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年综合能源消费量在5000吨标准煤及以上（当量值），且获得省级及以上绿色工厂称号。</w:t>
            </w:r>
          </w:p>
        </w:tc>
        <w:tc>
          <w:tcPr>
            <w:tcW w:w="1234"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jc w:val="center"/>
        </w:trPr>
        <w:tc>
          <w:tcPr>
            <w:tcW w:w="1320" w:type="dxa"/>
            <w:gridSpan w:val="2"/>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序号</w:t>
            </w:r>
          </w:p>
        </w:tc>
        <w:tc>
          <w:tcPr>
            <w:tcW w:w="1949"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评价指标</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评价要求</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分值</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得分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788" w:type="dxa"/>
            <w:vMerge w:val="restart"/>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评</w:t>
            </w: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分</w:t>
            </w: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项</w:t>
            </w: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9</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温室气体减排绩效（30）</w:t>
            </w:r>
          </w:p>
        </w:tc>
        <w:tc>
          <w:tcPr>
            <w:tcW w:w="748"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碳排放强度</w:t>
            </w:r>
          </w:p>
        </w:tc>
        <w:tc>
          <w:tcPr>
            <w:tcW w:w="4918"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单位工业增加值碳排放量达到我省平均水平（≤8吨二氧化碳/万元，以未抵消的碳排放量计算）。</w:t>
            </w:r>
          </w:p>
        </w:tc>
        <w:tc>
          <w:tcPr>
            <w:tcW w:w="473"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15</w:t>
            </w:r>
          </w:p>
        </w:tc>
        <w:tc>
          <w:tcPr>
            <w:tcW w:w="761"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10</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能效提升</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近2年开展3项及以上节能减碳改造项目（含可再生能源利用项目）。</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11</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建立零碳管理体系（30）</w:t>
            </w:r>
          </w:p>
        </w:tc>
        <w:tc>
          <w:tcPr>
            <w:tcW w:w="748"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温室气体排放管理体系</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设立温室气体排放管理机构，指定专人负责企业温室气体排放管理的制度建设和节能降碳工作推进。</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加强员工温室气体排放管理相关能力建设，定期组织相关的教育、培训，并对结果进行考评。</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建立温室气体排放统计及报告制度，明确数据收集、量化、报告及归档要求。</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536" w:hRule="atLeast"/>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12</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温室气体排放核算和报告</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依据生态环境部发布的企业温室气体排放核算与报告指南、国家发展改革委发布的重点行业企业温室气体排放核算方法与报告指南（试行）、GB/T 32150及GB/T 32151、ISO14064-1:2018等对温室气体排放进行核算和报告，必要时进行结果披露。</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jc w:val="center"/>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13</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val="0"/>
                <w:bCs w:val="0"/>
                <w:color w:val="000000"/>
                <w:kern w:val="0"/>
                <w:sz w:val="24"/>
                <w:szCs w:val="24"/>
                <w:highlight w:val="none"/>
                <w:lang w:val="en-US" w:eastAsia="zh-CN" w:bidi="ar-SA"/>
              </w:rPr>
              <w:t>体系建设</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能源管理体系、环境管理体系通过认证。</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14</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信息化系统</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按照工业和信息化部《工业企业和园区数字化能碳管理中心建设指南》建设数字化能碳管理中心。</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15</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温室气体减排措施（40）</w:t>
            </w:r>
          </w:p>
        </w:tc>
        <w:tc>
          <w:tcPr>
            <w:tcW w:w="748"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低零碳能源</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优化能源结构，控制化石能源消费，提高非化石能源消费占比。</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利用厂区条件建设光伏发电或风力发电等可再生能源利用设施。</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16</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低零碳技术</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积极推广风（光）储充一体化技术、多能互补技术、绿电直供技术等先进低碳能源技术。</w:t>
            </w:r>
            <w:r>
              <w:rPr>
                <w:rFonts w:hint="eastAsia" w:ascii="仿宋_GB2312" w:hAnsi="仿宋_GB2312" w:eastAsia="仿宋_GB2312" w:cs="仿宋_GB2312"/>
                <w:b w:val="0"/>
                <w:bCs w:val="0"/>
                <w:color w:val="000000"/>
                <w:kern w:val="0"/>
                <w:sz w:val="24"/>
                <w:szCs w:val="24"/>
                <w:highlight w:val="none"/>
                <w:lang w:val="en-US" w:eastAsia="zh-CN" w:bidi="ar-SA"/>
              </w:rPr>
              <w:t>采用国家和福建省节能、低碳技术推广目录中推荐的技术或产品，应用节能、低碳或负碳技术减少温室气体排放。</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17</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低零碳供应链</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向上游供应商获取原材料碳足迹相关数据，并采取措施推动供应链全链条低零碳发展。</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18</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产品生态设计及评价</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按照GB/T 24256对生产的产品进行生态设计，优化产品设计和生产工艺，减少原辅材料和能源的消耗。</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b/>
                <w:bCs/>
                <w:color w:val="auto"/>
                <w:sz w:val="24"/>
                <w:szCs w:val="24"/>
                <w:highlight w:val="none"/>
              </w:rPr>
            </w:pPr>
          </w:p>
        </w:tc>
        <w:tc>
          <w:tcPr>
            <w:tcW w:w="532"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按照GB/T 32161等适用标准对生产的产品进行生态设计产品评价。</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13" w:hRule="atLeast"/>
          <w:jc w:val="center"/>
        </w:trPr>
        <w:tc>
          <w:tcPr>
            <w:tcW w:w="788"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19</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产品碳足迹评价</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采用GB/T 24067等标准开展产品碳足迹核算或认证工作，根据核算结果实施产品碳足迹改善措施。</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Merge w:val="continue"/>
            <w:tcBorders>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20</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80" w:lineRule="exact"/>
              <w:ind w:left="0" w:right="0"/>
              <w:rPr>
                <w:rFonts w:hint="eastAsia" w:ascii="仿宋_GB2312" w:hAnsi="仿宋_GB2312" w:eastAsia="仿宋_GB2312" w:cs="仿宋_GB2312"/>
                <w:color w:val="auto"/>
                <w:sz w:val="24"/>
                <w:szCs w:val="24"/>
                <w:highlight w:val="none"/>
              </w:rPr>
            </w:pPr>
          </w:p>
        </w:tc>
        <w:tc>
          <w:tcPr>
            <w:tcW w:w="74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能源审计和节能诊断</w:t>
            </w:r>
          </w:p>
        </w:tc>
        <w:tc>
          <w:tcPr>
            <w:tcW w:w="491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定期开展节能诊断或能源审计，挖掘节能减碳空间，提出合理化节能减碳措施。</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p>
        </w:tc>
        <w:tc>
          <w:tcPr>
            <w:tcW w:w="7399" w:type="dxa"/>
            <w:gridSpan w:val="4"/>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合计</w:t>
            </w:r>
          </w:p>
        </w:tc>
        <w:tc>
          <w:tcPr>
            <w:tcW w:w="473"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100</w:t>
            </w:r>
          </w:p>
        </w:tc>
        <w:tc>
          <w:tcPr>
            <w:tcW w:w="76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8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bl>
    <w:p>
      <w:pPr>
        <w:widowControl/>
        <w:adjustRightInd w:val="0"/>
        <w:snapToGrid w:val="0"/>
        <w:spacing w:afterAutospacing="0" w:line="400" w:lineRule="atLeast"/>
        <w:ind w:firstLine="420" w:firstLineChars="200"/>
        <w:jc w:val="left"/>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注：评价指标来源于福建省地方标准《低零碳工厂建设导则》（DB35/T 2285—2025）《工业企业碳效评价导则》（DB35/T 2258-2025），相关指标解释及计算方法可参考该标准，各项评价指标按照满足程度在0分到满分中取值。</w:t>
      </w:r>
    </w:p>
    <w:p>
      <w:pPr>
        <w:rPr>
          <w:rFonts w:hint="default"/>
          <w:color w:val="auto"/>
        </w:rPr>
      </w:pPr>
    </w:p>
    <w:sectPr>
      <w:footerReference r:id="rId4" w:type="default"/>
      <w:pgSz w:w="11906" w:h="16838"/>
      <w:pgMar w:top="2041" w:right="1531" w:bottom="1644" w:left="1531"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00002FF" w:usb1="4000ACFF" w:usb2="00000001" w:usb3="00000000" w:csb0="2000019F" w:csb1="00000000"/>
  </w:font>
  <w:font w:name="方正仿宋简体">
    <w:altName w:val="微软雅黑"/>
    <w:panose1 w:val="02010601030101010101"/>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方正书宋_GBK">
    <w:altName w:val="宋体"/>
    <w:panose1 w:val="02000000000000000000"/>
    <w:charset w:val="86"/>
    <w:family w:val="auto"/>
    <w:pitch w:val="default"/>
    <w:sig w:usb0="00000001" w:usb1="08000000" w:usb2="00000000" w:usb3="00000000" w:csb0="00040000" w:csb1="00000000"/>
  </w:font>
  <w:font w:name="DejaVu Sans">
    <w:altName w:val="Segoe Print"/>
    <w:panose1 w:val="020B0603030804020204"/>
    <w:charset w:val="00"/>
    <w:family w:val="auto"/>
    <w:pitch w:val="default"/>
    <w:sig w:usb0="E7006EFF" w:usb1="D200FDFF" w:usb2="0A246029" w:usb3="0400200C" w:csb0="600001FF" w:csb1="DFFF0000"/>
  </w:font>
  <w:font w:name="方正黑体_GBK">
    <w:altName w:val="黑体"/>
    <w:panose1 w:val="02000000000000000000"/>
    <w:charset w:val="86"/>
    <w:family w:val="auto"/>
    <w:pitch w:val="default"/>
    <w:sig w:usb0="00000001" w:usb1="08000000" w:usb2="00000000" w:usb3="00000000" w:csb0="00040000" w:csb1="00000000"/>
  </w:font>
  <w:font w:name="方正仿宋_GBK">
    <w:altName w:val="微软雅黑"/>
    <w:panose1 w:val="02000000000000000000"/>
    <w:charset w:val="86"/>
    <w:family w:val="auto"/>
    <w:pitch w:val="default"/>
    <w:sig w:usb0="00000001" w:usb1="08000000" w:usb2="00000000" w:usb3="00000000" w:csb0="00040000" w:csb1="00000000"/>
  </w:font>
  <w:font w:name="方正楷体_GBK">
    <w:altName w:val="楷体_GB2312"/>
    <w:panose1 w:val="02000000000000000000"/>
    <w:charset w:val="86"/>
    <w:family w:val="auto"/>
    <w:pitch w:val="default"/>
    <w:sig w:usb0="00000001" w:usb1="08000000" w:usb2="00000000" w:usb3="00000000" w:csb0="00040000" w:csb1="00000000"/>
  </w:font>
  <w:font w:name="方正宋体S-超大字符集">
    <w:altName w:val="宋体"/>
    <w:panose1 w:val="02000000000000000000"/>
    <w:charset w:val="86"/>
    <w:family w:val="auto"/>
    <w:pitch w:val="default"/>
    <w:sig w:usb0="00000001" w:usb1="08000000" w:usb2="00000000" w:usb3="00000000" w:csb0="00040000" w:csb1="00000000"/>
  </w:font>
  <w:font w:name="汉仪叶叶相思体简">
    <w:altName w:val="宋体"/>
    <w:panose1 w:val="0201050906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8"/>
    </w:pPr>
    <w:r>
      <w:rPr>
        <w:rFonts w:ascii="Times New Roman" w:hAnsi="Times New Roman" w:eastAsia="方正仿宋简体" w:cs="Times New Roman"/>
        <w:kern w:val="2"/>
        <w:sz w:val="18"/>
        <w:szCs w:val="24"/>
        <w:lang w:val="en-US" w:eastAsia="zh-CN" w:bidi="ar-SA"/>
      </w:rPr>
      <w:pict>
        <v:rect id="文本框 2" o:spid="_x0000_s1025" style="position:absolute;left:0;margin-top:-17.25pt;height:144pt;width:144pt;mso-position-horizontal:outside;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14.17pt,0.00pt,14.17pt,0.00pt" style="mso-fit-shape-to-text:t;">
            <w:txbxContent>
              <w:p>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revisionView w:markup="0"/>
  <w:documentProtection w:edit="readOnly" w:enforcement="0"/>
  <w:defaultTabStop w:val="420"/>
  <w:drawingGridHorizontalSpacing w:val="160"/>
  <w:drawingGridVerticalSpacing w:val="59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qFormat="1" w:unhideWhenUsed="0" w:uiPriority="0" w:name="Balloon Text"/>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24"/>
      <w:lang w:val="en-US" w:eastAsia="zh-CN" w:bidi="ar-SA"/>
    </w:rPr>
  </w:style>
  <w:style w:type="paragraph" w:styleId="4">
    <w:name w:val="heading 3"/>
    <w:basedOn w:val="1"/>
    <w:next w:val="1"/>
    <w:unhideWhenUsed/>
    <w:qFormat/>
    <w:uiPriority w:val="0"/>
    <w:pPr>
      <w:spacing w:before="100" w:beforeAutospacing="1" w:after="100" w:afterAutospacing="1"/>
      <w:jc w:val="left"/>
    </w:pPr>
    <w:rPr>
      <w:rFonts w:hint="eastAsia" w:ascii="宋体" w:hAnsi="宋体" w:eastAsia="宋体" w:cs="宋体"/>
      <w:b/>
      <w:bCs/>
      <w:kern w:val="0"/>
      <w:sz w:val="27"/>
      <w:szCs w:val="27"/>
      <w:lang w:val="en-US" w:eastAsia="zh-CN"/>
    </w:rPr>
  </w:style>
  <w:style w:type="character" w:default="1" w:styleId="11">
    <w:name w:val="Default Paragraph Font"/>
    <w:semiHidden/>
    <w:qFormat/>
    <w:uiPriority w:val="0"/>
  </w:style>
  <w:style w:type="paragraph" w:styleId="2">
    <w:name w:val="Body Text First Indent 2"/>
    <w:next w:val="3"/>
    <w:unhideWhenUsed/>
    <w:qFormat/>
    <w:uiPriority w:val="99"/>
    <w:pPr>
      <w:widowControl w:val="0"/>
      <w:spacing w:after="120"/>
      <w:ind w:left="0" w:leftChars="0" w:firstLine="420"/>
      <w:jc w:val="both"/>
    </w:pPr>
    <w:rPr>
      <w:rFonts w:ascii="Calibri" w:hAnsi="Calibri" w:eastAsia="宋体" w:cs="Times New Roman"/>
      <w:kern w:val="2"/>
      <w:sz w:val="21"/>
      <w:szCs w:val="24"/>
      <w:lang w:val="en-US" w:eastAsia="zh-CN" w:bidi="ar-SA"/>
    </w:rPr>
  </w:style>
  <w:style w:type="paragraph" w:styleId="3">
    <w:name w:val="index 6"/>
    <w:next w:val="1"/>
    <w:unhideWhenUsed/>
    <w:qFormat/>
    <w:uiPriority w:val="99"/>
    <w:pPr>
      <w:widowControl w:val="0"/>
      <w:ind w:left="2100"/>
      <w:jc w:val="both"/>
    </w:pPr>
    <w:rPr>
      <w:rFonts w:ascii="Times New Roman" w:hAnsi="Times New Roman" w:eastAsia="宋体" w:cs="Times New Roman"/>
      <w:kern w:val="2"/>
      <w:sz w:val="21"/>
      <w:szCs w:val="24"/>
      <w:lang w:val="en-US" w:eastAsia="zh-CN" w:bidi="ar-SA"/>
    </w:rPr>
  </w:style>
  <w:style w:type="paragraph" w:styleId="5">
    <w:name w:val="Body Text"/>
    <w:basedOn w:val="1"/>
    <w:next w:val="6"/>
    <w:unhideWhenUsed/>
    <w:qFormat/>
    <w:uiPriority w:val="99"/>
    <w:pPr>
      <w:widowControl w:val="0"/>
      <w:spacing w:after="120"/>
      <w:jc w:val="both"/>
    </w:pPr>
    <w:rPr>
      <w:rFonts w:ascii="Times New Roman" w:hAnsi="Times New Roman" w:eastAsia="方正仿宋简体" w:cs="Times New Roman"/>
      <w:kern w:val="2"/>
      <w:sz w:val="21"/>
      <w:szCs w:val="22"/>
      <w:lang w:val="en-US" w:eastAsia="zh-CN" w:bidi="ar-SA"/>
    </w:rPr>
  </w:style>
  <w:style w:type="paragraph" w:styleId="6">
    <w:name w:val="Title"/>
    <w:basedOn w:val="1"/>
    <w:next w:val="1"/>
    <w:qFormat/>
    <w:uiPriority w:val="10"/>
    <w:pPr>
      <w:jc w:val="center"/>
      <w:outlineLvl w:val="0"/>
    </w:pPr>
    <w:rPr>
      <w:rFonts w:ascii="方正小标宋_GBK" w:hAnsi="方正小标宋_GBK" w:eastAsia="方正小标宋_GBK" w:cs="方正小标宋_GBK"/>
      <w:sz w:val="44"/>
      <w:szCs w:val="44"/>
    </w:rPr>
  </w:style>
  <w:style w:type="paragraph" w:styleId="7">
    <w:name w:val="Balloon Text"/>
    <w:basedOn w:val="1"/>
    <w:semiHidden/>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12">
    <w:name w:val="page number"/>
    <w:qFormat/>
    <w:uiPriority w:val="0"/>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3</Words>
  <Characters>22</Characters>
  <Lines>1</Lines>
  <Paragraphs>1</Paragraphs>
  <ScaleCrop>false</ScaleCrop>
  <LinksUpToDate>false</LinksUpToDate>
  <CharactersWithSpaces>0</CharactersWithSpaces>
  <Application>WPS Office 专业版_9.1.0.4569_{F1E327BC-269C-435d-A152-05C5408002CA}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2013-12-24T10:22:00Z</dcterms:created>
  <dc:creator>jane</dc:creator>
  <cp:lastModifiedBy>Administrator</cp:lastModifiedBy>
  <cp:lastPrinted>2026-08-15T16:09:00Z</cp:lastPrinted>
  <dcterms:modified xsi:type="dcterms:W3CDTF">2026-08-26T01:51:59Z</dcterms:modified>
  <dc:title>福建省经济贸易委员会</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2052-9.1.0.4569</vt:lpwstr>
  </property>
  <property fmtid="{D5CDD505-2E9C-101B-9397-08002B2CF9AE}" pid="3" name="ICV">
    <vt:lpwstr>532094C4FCDEE86A37E87E6A4966AAB4_43</vt:lpwstr>
  </property>
</Properties>
</file>