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val="0"/>
        <w:spacing w:afterAutospacing="0" w:line="580" w:lineRule="exact"/>
        <w:ind w:firstLine="0" w:firstLineChars="0"/>
        <w:jc w:val="both"/>
        <w:rPr>
          <w:rFonts w:hint="eastAsia" w:ascii="黑体" w:hAnsi="黑体" w:eastAsia="黑体" w:cs="黑体"/>
          <w:color w:val="auto"/>
          <w:kern w:val="2"/>
          <w:sz w:val="32"/>
          <w:szCs w:val="32"/>
          <w:highlight w:val="none"/>
          <w:shd w:val="clear" w:color="auto" w:fill="FFFFFF"/>
          <w:lang w:val="en-US" w:eastAsia="zh-CN" w:bidi="ar-SA"/>
        </w:rPr>
      </w:pPr>
      <w:r>
        <w:rPr>
          <w:rFonts w:hint="eastAsia" w:ascii="黑体" w:hAnsi="黑体" w:eastAsia="黑体" w:cs="黑体"/>
          <w:color w:val="auto"/>
          <w:kern w:val="2"/>
          <w:sz w:val="32"/>
          <w:szCs w:val="32"/>
          <w:highlight w:val="none"/>
          <w:shd w:val="clear" w:color="auto" w:fill="FFFFFF"/>
          <w:lang w:val="en-US" w:eastAsia="zh-CN" w:bidi="ar-SA"/>
        </w:rPr>
        <w:t>附件3</w:t>
      </w:r>
    </w:p>
    <w:p>
      <w:pPr>
        <w:widowControl w:val="0"/>
        <w:adjustRightInd w:val="0"/>
        <w:snapToGrid w:val="0"/>
        <w:spacing w:before="0" w:beforeAutospacing="0" w:after="0" w:afterAutospacing="0" w:line="600" w:lineRule="atLeast"/>
        <w:ind w:left="0" w:right="0" w:firstLine="0" w:firstLineChars="0"/>
        <w:jc w:val="center"/>
        <w:rPr>
          <w:rFonts w:hint="eastAsia" w:ascii="方正小标宋简体" w:hAnsi="方正小标宋简体" w:eastAsia="方正小标宋简体" w:cs="方正小标宋简体"/>
          <w:color w:val="auto"/>
          <w:kern w:val="2"/>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rPr>
        <w:t>福建省零碳工厂评价指标表</w:t>
      </w:r>
      <w:bookmarkStart w:id="0" w:name="_GoBack"/>
      <w:bookmarkEnd w:id="0"/>
    </w:p>
    <w:p>
      <w:pPr>
        <w:widowControl w:val="0"/>
        <w:spacing w:afterAutospacing="0" w:line="580" w:lineRule="exact"/>
        <w:ind w:firstLine="0" w:firstLineChars="0"/>
        <w:jc w:val="both"/>
        <w:rPr>
          <w:rFonts w:hint="eastAsia" w:ascii="仿宋_GB2312" w:hAnsi="仿宋_GB2312" w:eastAsia="仿宋_GB2312" w:cs="仿宋_GB2312"/>
          <w:color w:val="auto"/>
          <w:kern w:val="2"/>
          <w:sz w:val="32"/>
          <w:szCs w:val="32"/>
          <w:highlight w:val="none"/>
          <w:shd w:val="clear" w:color="auto" w:fill="FFFFFF"/>
          <w:lang w:val="en-US" w:eastAsia="zh-CN" w:bidi="ar-SA"/>
        </w:rPr>
      </w:pPr>
      <w:r>
        <w:rPr>
          <w:rFonts w:hint="eastAsia" w:ascii="仿宋_GB2312" w:hAnsi="仿宋_GB2312" w:eastAsia="仿宋_GB2312" w:cs="仿宋_GB2312"/>
          <w:color w:val="auto"/>
          <w:kern w:val="2"/>
          <w:sz w:val="32"/>
          <w:szCs w:val="32"/>
          <w:highlight w:val="none"/>
          <w:shd w:val="clear" w:color="auto" w:fill="FFFFFF"/>
          <w:lang w:val="en-US" w:eastAsia="zh-CN" w:bidi="ar-SA"/>
        </w:rPr>
        <w:t>企业名称：</w:t>
      </w:r>
    </w:p>
    <w:tbl>
      <w:tblPr>
        <w:tblW w:w="922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5"/>
        <w:gridCol w:w="531"/>
        <w:gridCol w:w="1201"/>
        <w:gridCol w:w="746"/>
        <w:gridCol w:w="4872"/>
        <w:gridCol w:w="612"/>
        <w:gridCol w:w="46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2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序号</w:t>
            </w:r>
          </w:p>
        </w:tc>
        <w:tc>
          <w:tcPr>
            <w:tcW w:w="1947" w:type="dxa"/>
            <w:gridSpan w:val="2"/>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val="0"/>
              <w:spacing w:before="0" w:beforeAutospacing="0" w:after="0" w:afterAutospacing="0" w:line="260" w:lineRule="exact"/>
              <w:ind w:left="0" w:right="0"/>
              <w:jc w:val="center"/>
              <w:textAlignment w:val="auto"/>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评价指标</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评价要求</w:t>
            </w:r>
          </w:p>
        </w:tc>
        <w:tc>
          <w:tcPr>
            <w:tcW w:w="107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是否</w:t>
            </w:r>
          </w:p>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符合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restart"/>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否</w:t>
            </w: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决</w:t>
            </w: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项</w:t>
            </w:r>
          </w:p>
        </w:tc>
        <w:tc>
          <w:tcPr>
            <w:tcW w:w="531"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w:t>
            </w:r>
          </w:p>
        </w:tc>
        <w:tc>
          <w:tcPr>
            <w:tcW w:w="1947" w:type="dxa"/>
            <w:gridSpan w:val="2"/>
            <w:vMerge w:val="restart"/>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基本条件</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福建省内依法开展生产经营活动的规模以上制造业企业。</w:t>
            </w:r>
          </w:p>
        </w:tc>
        <w:tc>
          <w:tcPr>
            <w:tcW w:w="107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2</w:t>
            </w:r>
          </w:p>
        </w:tc>
        <w:tc>
          <w:tcPr>
            <w:tcW w:w="1947" w:type="dxa"/>
            <w:gridSpan w:val="2"/>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符合国家产业政策要求，未使用国家明令禁止或者列入限制、淘汰目录的落后工艺、设备和产品。</w:t>
            </w:r>
          </w:p>
        </w:tc>
        <w:tc>
          <w:tcPr>
            <w:tcW w:w="107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3</w:t>
            </w:r>
          </w:p>
        </w:tc>
        <w:tc>
          <w:tcPr>
            <w:tcW w:w="1947" w:type="dxa"/>
            <w:gridSpan w:val="2"/>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近36个月无安全（含网络安全、数据安全）、质量、环境污染等事故，无节能、环保、偷漏税等违法违规行为（以“信用中国”为准），不属于失信被执行人</w:t>
            </w:r>
            <w:r>
              <w:rPr>
                <w:rFonts w:hint="eastAsia" w:ascii="仿宋_GB2312" w:hAnsi="仿宋_GB2312" w:eastAsia="仿宋_GB2312" w:cs="仿宋_GB2312"/>
                <w:b w:val="0"/>
                <w:bCs w:val="0"/>
                <w:color w:val="000000"/>
                <w:kern w:val="0"/>
                <w:sz w:val="24"/>
                <w:szCs w:val="24"/>
                <w:highlight w:val="none"/>
                <w:lang w:val="en-US" w:eastAsia="zh-CN" w:bidi="ar-SA"/>
              </w:rPr>
              <w:t>。</w:t>
            </w:r>
          </w:p>
        </w:tc>
        <w:tc>
          <w:tcPr>
            <w:tcW w:w="107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4</w:t>
            </w:r>
          </w:p>
        </w:tc>
        <w:tc>
          <w:tcPr>
            <w:tcW w:w="1947" w:type="dxa"/>
            <w:gridSpan w:val="2"/>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近36个月未在国务院及有关部门相关督查工作中被发现存在严重问题，未被列入工业节能监察整改名单或已按要求完成整改。</w:t>
            </w:r>
          </w:p>
        </w:tc>
        <w:tc>
          <w:tcPr>
            <w:tcW w:w="107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1947" w:type="dxa"/>
            <w:gridSpan w:val="2"/>
            <w:vMerge w:val="continue"/>
            <w:tcBorders>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严格遵守国家和地方绿色低碳循环利用相关法律法规、政策、标准和相关规定。</w:t>
            </w:r>
          </w:p>
        </w:tc>
        <w:tc>
          <w:tcPr>
            <w:tcW w:w="107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6</w:t>
            </w:r>
          </w:p>
        </w:tc>
        <w:tc>
          <w:tcPr>
            <w:tcW w:w="1947"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能效水平</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企业单位产品、工序能耗和碳排放应达到相关行业强制性能耗和碳排放限额国家标准（如有）的1级或先进值，或我省能源消耗和碳排放限额地方标准的先进值（适用时）；涉及工业重点领域产品的，企业的能效水平应达到《工业重点领域能效标杆水平和基准水平》的能效标杆水平</w:t>
            </w:r>
            <w:r>
              <w:rPr>
                <w:rFonts w:hint="eastAsia" w:ascii="仿宋_GB2312" w:hAnsi="仿宋_GB2312" w:eastAsia="仿宋_GB2312" w:cs="仿宋_GB2312"/>
                <w:b w:val="0"/>
                <w:bCs w:val="0"/>
                <w:color w:val="000000"/>
                <w:kern w:val="0"/>
                <w:sz w:val="24"/>
                <w:szCs w:val="24"/>
                <w:highlight w:val="none"/>
                <w:lang w:val="en-US" w:eastAsia="zh-CN" w:bidi="ar-SA"/>
              </w:rPr>
              <w:t>。</w:t>
            </w:r>
          </w:p>
        </w:tc>
        <w:tc>
          <w:tcPr>
            <w:tcW w:w="107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leftChars="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7</w:t>
            </w:r>
          </w:p>
        </w:tc>
        <w:tc>
          <w:tcPr>
            <w:tcW w:w="1947" w:type="dxa"/>
            <w:gridSpan w:val="2"/>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碳削减</w:t>
            </w:r>
          </w:p>
        </w:tc>
        <w:tc>
          <w:tcPr>
            <w:tcW w:w="4872"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left"/>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以2021年为基准期，</w:t>
            </w:r>
            <w:r>
              <w:rPr>
                <w:rFonts w:hint="eastAsia" w:ascii="仿宋_GB2312" w:hAnsi="仿宋_GB2312" w:eastAsia="仿宋_GB2312" w:cs="仿宋_GB2312"/>
                <w:b w:val="0"/>
                <w:bCs w:val="0"/>
                <w:color w:val="000000"/>
                <w:kern w:val="0"/>
                <w:sz w:val="24"/>
                <w:szCs w:val="24"/>
                <w:highlight w:val="none"/>
                <w:lang w:val="en-US" w:eastAsia="zh-CN" w:bidi="ar-SA"/>
              </w:rPr>
              <w:t>碳削减率达100%（其中通过绿证交易、碳汇购买、自愿减排项目开发等碳抵消方式削减的碳排放量不得超过基准值的50%）。</w:t>
            </w:r>
          </w:p>
        </w:tc>
        <w:tc>
          <w:tcPr>
            <w:tcW w:w="1076"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jc w:val="center"/>
        </w:trPr>
        <w:tc>
          <w:tcPr>
            <w:tcW w:w="1326" w:type="dxa"/>
            <w:gridSpan w:val="2"/>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序号</w:t>
            </w:r>
          </w:p>
        </w:tc>
        <w:tc>
          <w:tcPr>
            <w:tcW w:w="1947" w:type="dxa"/>
            <w:gridSpan w:val="2"/>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评价指标</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评价要求</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分值</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szCs w:val="24"/>
                <w:highlight w:val="none"/>
                <w:lang w:val="en-US" w:eastAsia="zh-CN" w:bidi="ar-SA"/>
              </w:rPr>
              <w:t>得分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jc w:val="center"/>
        </w:trPr>
        <w:tc>
          <w:tcPr>
            <w:tcW w:w="795" w:type="dxa"/>
            <w:vMerge w:val="restart"/>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评</w:t>
            </w: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分</w:t>
            </w: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项</w:t>
            </w: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8</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温室气体减排绩效（30）</w:t>
            </w:r>
          </w:p>
        </w:tc>
        <w:tc>
          <w:tcPr>
            <w:tcW w:w="746"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碳排放强度</w:t>
            </w:r>
          </w:p>
        </w:tc>
        <w:tc>
          <w:tcPr>
            <w:tcW w:w="4872"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单位工业增加值碳排放量达到我省平均水平（≤8吨二氧化碳/万元，以未抵消的碳排放量计算）。</w:t>
            </w:r>
          </w:p>
        </w:tc>
        <w:tc>
          <w:tcPr>
            <w:tcW w:w="612"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9</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能效提升</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近2年开展3项及以上节能减碳改造项目（含可再生能源利用项目）。</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10</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碳抵消（逆向指标）</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评价企业通过绿证交易、碳汇购买、自愿减排项目开发等碳抵消方式削减的碳排放量（即</w:t>
            </w:r>
            <w:r>
              <w:rPr>
                <w:rFonts w:hint="eastAsia" w:ascii="仿宋_GB2312" w:hAnsi="仿宋_GB2312" w:eastAsia="仿宋_GB2312" w:cs="仿宋_GB2312"/>
                <w:color w:val="auto"/>
                <w:kern w:val="0"/>
                <w:sz w:val="24"/>
                <w:szCs w:val="24"/>
                <w:highlight w:val="none"/>
                <w:lang w:val="en-US" w:eastAsia="zh-CN" w:bidi="ar-SA"/>
              </w:rPr>
              <w:t>E</w:t>
            </w:r>
            <w:r>
              <w:rPr>
                <w:rFonts w:hint="eastAsia" w:ascii="仿宋_GB2312" w:hAnsi="仿宋_GB2312" w:eastAsia="仿宋_GB2312" w:cs="仿宋_GB2312"/>
                <w:color w:val="auto"/>
                <w:kern w:val="0"/>
                <w:sz w:val="24"/>
                <w:szCs w:val="24"/>
                <w:highlight w:val="none"/>
                <w:vertAlign w:val="subscript"/>
                <w:lang w:val="en-US" w:eastAsia="zh-CN" w:bidi="ar-SA"/>
              </w:rPr>
              <w:t>i,offset</w:t>
            </w:r>
            <w:r>
              <w:rPr>
                <w:rFonts w:hint="eastAsia" w:ascii="仿宋_GB2312" w:hAnsi="仿宋_GB2312" w:eastAsia="仿宋_GB2312" w:cs="仿宋_GB2312"/>
                <w:color w:val="auto"/>
                <w:kern w:val="0"/>
                <w:sz w:val="24"/>
                <w:szCs w:val="24"/>
                <w:highlight w:val="none"/>
                <w:lang w:val="en-US" w:eastAsia="zh-CN" w:bidi="ar-SA"/>
              </w:rPr>
              <w:t>，</w:t>
            </w:r>
            <w:r>
              <w:rPr>
                <w:rFonts w:hint="eastAsia" w:ascii="仿宋_GB2312" w:hAnsi="仿宋_GB2312" w:eastAsia="仿宋_GB2312" w:cs="仿宋_GB2312"/>
                <w:b w:val="0"/>
                <w:bCs w:val="0"/>
                <w:color w:val="000000"/>
                <w:kern w:val="0"/>
                <w:sz w:val="24"/>
                <w:szCs w:val="24"/>
                <w:highlight w:val="none"/>
                <w:lang w:val="en-US" w:eastAsia="zh-CN" w:bidi="ar-SA"/>
              </w:rPr>
              <w:t>碳抵消量）占碳排放基准值的比例，碳抵消占比越高，此项得分越低。</w:t>
            </w:r>
          </w:p>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bidi="ar-SA"/>
              </w:rPr>
            </w:pPr>
            <w:r>
              <w:rPr>
                <w:rFonts w:hint="eastAsia" w:ascii="仿宋_GB2312" w:hAnsi="仿宋_GB2312" w:eastAsia="仿宋_GB2312" w:cs="仿宋_GB2312"/>
                <w:b w:val="0"/>
                <w:bCs w:val="0"/>
                <w:color w:val="000000"/>
                <w:kern w:val="0"/>
                <w:sz w:val="24"/>
                <w:szCs w:val="24"/>
                <w:highlight w:val="none"/>
                <w:lang w:val="en-US" w:eastAsia="zh-CN" w:bidi="ar-SA"/>
              </w:rPr>
              <w:t>【碳抵消占比=</w:t>
            </w:r>
            <w:r>
              <w:rPr>
                <w:rFonts w:hint="eastAsia" w:ascii="仿宋_GB2312" w:hAnsi="仿宋_GB2312" w:eastAsia="仿宋_GB2312" w:cs="仿宋_GB2312"/>
                <w:color w:val="auto"/>
                <w:kern w:val="0"/>
                <w:sz w:val="24"/>
                <w:szCs w:val="24"/>
                <w:highlight w:val="none"/>
                <w:lang w:val="en-US" w:eastAsia="zh-CN" w:bidi="ar-SA"/>
              </w:rPr>
              <w:t>E</w:t>
            </w:r>
            <w:r>
              <w:rPr>
                <w:rFonts w:hint="eastAsia" w:ascii="仿宋_GB2312" w:hAnsi="仿宋_GB2312" w:eastAsia="仿宋_GB2312" w:cs="仿宋_GB2312"/>
                <w:color w:val="auto"/>
                <w:kern w:val="0"/>
                <w:sz w:val="24"/>
                <w:szCs w:val="24"/>
                <w:highlight w:val="none"/>
                <w:vertAlign w:val="subscript"/>
                <w:lang w:val="en-US" w:eastAsia="zh-CN" w:bidi="ar-SA"/>
              </w:rPr>
              <w:t>i,offset</w:t>
            </w:r>
            <w:r>
              <w:rPr>
                <w:rFonts w:hint="eastAsia" w:ascii="仿宋_GB2312" w:hAnsi="仿宋_GB2312" w:eastAsia="仿宋_GB2312" w:cs="仿宋_GB2312"/>
                <w:color w:val="auto"/>
                <w:kern w:val="0"/>
                <w:sz w:val="24"/>
                <w:szCs w:val="24"/>
                <w:highlight w:val="none"/>
                <w:lang w:val="en-US" w:eastAsia="zh-CN" w:bidi="ar-SA"/>
              </w:rPr>
              <w:t>（</w:t>
            </w:r>
            <w:r>
              <w:rPr>
                <w:rFonts w:hint="eastAsia" w:ascii="仿宋_GB2312" w:hAnsi="仿宋_GB2312" w:eastAsia="仿宋_GB2312" w:cs="仿宋_GB2312"/>
                <w:b w:val="0"/>
                <w:bCs w:val="0"/>
                <w:color w:val="000000"/>
                <w:kern w:val="0"/>
                <w:sz w:val="24"/>
                <w:szCs w:val="24"/>
                <w:highlight w:val="none"/>
                <w:lang w:val="en-US" w:eastAsia="zh-CN" w:bidi="ar-SA"/>
              </w:rPr>
              <w:t>碳抵消量</w:t>
            </w:r>
            <w:r>
              <w:rPr>
                <w:rFonts w:hint="eastAsia" w:ascii="仿宋_GB2312" w:hAnsi="仿宋_GB2312" w:eastAsia="仿宋_GB2312" w:cs="仿宋_GB2312"/>
                <w:color w:val="auto"/>
                <w:kern w:val="0"/>
                <w:sz w:val="24"/>
                <w:szCs w:val="24"/>
                <w:highlight w:val="none"/>
                <w:lang w:val="en-US" w:eastAsia="zh-CN" w:bidi="ar-SA"/>
              </w:rPr>
              <w:t>）</w:t>
            </w:r>
            <w:r>
              <w:rPr>
                <w:rFonts w:hint="eastAsia" w:ascii="仿宋_GB2312" w:hAnsi="仿宋_GB2312" w:eastAsia="仿宋_GB2312" w:cs="仿宋_GB2312"/>
                <w:b w:val="0"/>
                <w:bCs w:val="0"/>
                <w:color w:val="000000"/>
                <w:kern w:val="0"/>
                <w:sz w:val="24"/>
                <w:szCs w:val="24"/>
                <w:highlight w:val="none"/>
                <w:lang w:val="en-US" w:eastAsia="zh-CN" w:bidi="ar-SA"/>
              </w:rPr>
              <w:t>/</w:t>
            </w:r>
            <w:r>
              <w:rPr>
                <w:rFonts w:hint="eastAsia" w:ascii="仿宋_GB2312" w:hAnsi="仿宋_GB2312" w:eastAsia="仿宋_GB2312" w:cs="仿宋_GB2312"/>
                <w:color w:val="auto"/>
                <w:kern w:val="0"/>
                <w:sz w:val="24"/>
                <w:szCs w:val="24"/>
                <w:highlight w:val="none"/>
                <w:lang w:val="en-US" w:eastAsia="zh-CN" w:bidi="ar-SA"/>
              </w:rPr>
              <w:t>E</w:t>
            </w:r>
            <w:r>
              <w:rPr>
                <w:rFonts w:hint="eastAsia" w:ascii="仿宋_GB2312" w:hAnsi="仿宋_GB2312" w:eastAsia="仿宋_GB2312" w:cs="仿宋_GB2312"/>
                <w:color w:val="auto"/>
                <w:kern w:val="0"/>
                <w:sz w:val="24"/>
                <w:szCs w:val="24"/>
                <w:highlight w:val="none"/>
                <w:vertAlign w:val="subscript"/>
                <w:lang w:val="en-US" w:eastAsia="zh-CN" w:bidi="ar-SA"/>
              </w:rPr>
              <w:t>基准线</w:t>
            </w:r>
            <w:r>
              <w:rPr>
                <w:rFonts w:hint="eastAsia" w:ascii="仿宋_GB2312" w:hAnsi="仿宋_GB2312" w:eastAsia="仿宋_GB2312" w:cs="仿宋_GB2312"/>
                <w:color w:val="auto"/>
                <w:kern w:val="0"/>
                <w:sz w:val="24"/>
                <w:szCs w:val="24"/>
                <w:highlight w:val="none"/>
                <w:lang w:val="en-US" w:eastAsia="zh-CN" w:bidi="ar-SA"/>
              </w:rPr>
              <w:t>（</w:t>
            </w:r>
            <w:r>
              <w:rPr>
                <w:rFonts w:hint="eastAsia" w:ascii="仿宋_GB2312" w:hAnsi="仿宋_GB2312" w:eastAsia="仿宋_GB2312" w:cs="仿宋_GB2312"/>
                <w:b w:val="0"/>
                <w:bCs w:val="0"/>
                <w:color w:val="000000"/>
                <w:kern w:val="0"/>
                <w:sz w:val="24"/>
                <w:szCs w:val="24"/>
                <w:highlight w:val="none"/>
                <w:lang w:val="en-US" w:eastAsia="zh-CN" w:bidi="ar-SA"/>
              </w:rPr>
              <w:t>基准线碳排放量</w:t>
            </w:r>
            <w:r>
              <w:rPr>
                <w:rFonts w:hint="eastAsia" w:ascii="仿宋_GB2312" w:hAnsi="仿宋_GB2312" w:eastAsia="仿宋_GB2312" w:cs="仿宋_GB2312"/>
                <w:color w:val="auto"/>
                <w:kern w:val="0"/>
                <w:sz w:val="24"/>
                <w:szCs w:val="24"/>
                <w:highlight w:val="none"/>
                <w:lang w:val="en-US" w:eastAsia="zh-CN" w:bidi="ar-SA"/>
              </w:rPr>
              <w:t>）</w:t>
            </w:r>
            <w:r>
              <w:rPr>
                <w:rFonts w:hint="eastAsia" w:ascii="仿宋_GB2312" w:hAnsi="仿宋_GB2312" w:eastAsia="仿宋_GB2312" w:cs="仿宋_GB2312"/>
                <w:b w:val="0"/>
                <w:bCs w:val="0"/>
                <w:color w:val="000000"/>
                <w:kern w:val="0"/>
                <w:sz w:val="24"/>
                <w:szCs w:val="24"/>
                <w:highlight w:val="none"/>
                <w:lang w:val="en-US" w:eastAsia="zh-CN" w:bidi="ar-SA"/>
              </w:rPr>
              <w:t>，该项</w:t>
            </w:r>
            <w:r>
              <w:rPr>
                <w:rFonts w:hint="eastAsia" w:ascii="仿宋_GB2312" w:hAnsi="仿宋_GB2312" w:eastAsia="仿宋_GB2312" w:cs="仿宋_GB2312"/>
                <w:color w:val="000000"/>
                <w:kern w:val="0"/>
                <w:sz w:val="24"/>
                <w:szCs w:val="24"/>
                <w:highlight w:val="none"/>
                <w:lang w:val="en-US" w:eastAsia="zh-CN" w:bidi="ar-SA"/>
              </w:rPr>
              <w:t>得分=50−碳抵消占比×100</w:t>
            </w:r>
            <w:r>
              <w:rPr>
                <w:rFonts w:hint="eastAsia" w:ascii="仿宋_GB2312" w:hAnsi="仿宋_GB2312" w:eastAsia="仿宋_GB2312" w:cs="仿宋_GB2312"/>
                <w:b w:val="0"/>
                <w:bCs w:val="0"/>
                <w:color w:val="000000"/>
                <w:kern w:val="0"/>
                <w:sz w:val="24"/>
                <w:szCs w:val="24"/>
                <w:highlight w:val="none"/>
                <w:lang w:val="en-US" w:eastAsia="zh-CN" w:bidi="ar-SA"/>
              </w:rPr>
              <w:t>】</w:t>
            </w:r>
            <w:r>
              <w:rPr>
                <w:rFonts w:hint="eastAsia" w:ascii="仿宋_GB2312" w:hAnsi="仿宋_GB2312" w:eastAsia="仿宋_GB2312" w:cs="仿宋_GB2312"/>
                <w:b w:val="0"/>
                <w:bCs w:val="0"/>
                <w:color w:val="000000"/>
                <w:kern w:val="0"/>
                <w:sz w:val="24"/>
                <w:szCs w:val="24"/>
                <w:highlight w:val="none"/>
                <w:lang w:val="en-US" w:bidi="ar-SA"/>
              </w:rPr>
              <w:t>（最高得分20分）</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20</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11</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建立零碳管理体系（30）</w:t>
            </w:r>
          </w:p>
        </w:tc>
        <w:tc>
          <w:tcPr>
            <w:tcW w:w="746"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温室气体排放管理体系</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设立温室气体排放管理机构，指定专人负责企业温室气体排放管理的制度建设和节能降碳工作推进。</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b/>
                <w:bCs/>
                <w:color w:val="auto"/>
                <w:sz w:val="24"/>
                <w:szCs w:val="24"/>
                <w:highlight w:val="none"/>
              </w:rPr>
            </w:pPr>
          </w:p>
        </w:tc>
        <w:tc>
          <w:tcPr>
            <w:tcW w:w="53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加强员工温室气体排放管理相关能力建设，定期组织相关的教育、培训，并对结果进行考评。</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b/>
                <w:bCs/>
                <w:color w:val="auto"/>
                <w:sz w:val="24"/>
                <w:szCs w:val="24"/>
                <w:highlight w:val="none"/>
              </w:rPr>
            </w:pPr>
          </w:p>
        </w:tc>
        <w:tc>
          <w:tcPr>
            <w:tcW w:w="53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建立温室气体排放统计及报告制度，明确数据收集、量化、报告及归档要求。</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536" w:hRule="atLeast"/>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12</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温室气体排放核算和报告</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依据生态环境部发布的企业温室气体排放核算与报告指南、国家发展改革委发布的重点行业企业温室气体排放核算方法与报告指南（试行）、GB/T 32150及GB/T 32151、ISO14064-1:2018等对温室气体排放进行核算和报告，必要时进行结果披露。</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b/>
                <w:bCs/>
                <w:color w:val="auto"/>
                <w:sz w:val="24"/>
                <w:szCs w:val="24"/>
                <w:highlight w:val="none"/>
              </w:rPr>
            </w:pPr>
          </w:p>
        </w:tc>
        <w:tc>
          <w:tcPr>
            <w:tcW w:w="531" w:type="dxa"/>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jc w:val="center"/>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13</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val="0"/>
                <w:bCs w:val="0"/>
                <w:color w:val="000000"/>
                <w:kern w:val="0"/>
                <w:sz w:val="24"/>
                <w:szCs w:val="24"/>
                <w:highlight w:val="none"/>
                <w:lang w:val="en-US" w:eastAsia="zh-CN" w:bidi="ar-SA"/>
              </w:rPr>
              <w:t>体系建设</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能源管理体系、环境管理体系通过认证。</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14</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信息化系统</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按照工业和信息化部《工业企业和园区数字化能碳管理中心建设指南》建设数字化能碳管理中心。</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15</w:t>
            </w:r>
          </w:p>
        </w:tc>
        <w:tc>
          <w:tcPr>
            <w:tcW w:w="120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000000"/>
                <w:kern w:val="0"/>
                <w:sz w:val="24"/>
                <w:szCs w:val="24"/>
                <w:highlight w:val="none"/>
                <w:lang w:val="en-US" w:eastAsia="zh-CN" w:bidi="ar-SA"/>
              </w:rPr>
            </w:pPr>
          </w:p>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温室气体减排措施（40）</w:t>
            </w:r>
          </w:p>
        </w:tc>
        <w:tc>
          <w:tcPr>
            <w:tcW w:w="746"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低零碳能源</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优化能源结构，控制化石能源消费，提高非化石能源消费占比（</w:t>
            </w:r>
            <w:r>
              <w:rPr>
                <w:rFonts w:hint="eastAsia" w:ascii="仿宋_GB2312" w:hAnsi="仿宋_GB2312" w:eastAsia="仿宋_GB2312" w:cs="仿宋_GB2312"/>
                <w:color w:val="auto"/>
                <w:kern w:val="0"/>
                <w:sz w:val="24"/>
                <w:szCs w:val="24"/>
                <w:highlight w:val="none"/>
              </w:rPr>
              <w:t>应达到</w:t>
            </w:r>
            <w:r>
              <w:rPr>
                <w:rFonts w:hint="eastAsia" w:ascii="仿宋_GB2312" w:hAnsi="仿宋_GB2312" w:eastAsia="仿宋_GB2312" w:cs="仿宋_GB2312"/>
                <w:color w:val="auto"/>
                <w:kern w:val="0"/>
                <w:sz w:val="24"/>
                <w:szCs w:val="24"/>
                <w:highlight w:val="none"/>
                <w:lang w:val="en-US" w:eastAsia="zh-CN"/>
              </w:rPr>
              <w:t>5</w:t>
            </w:r>
            <w:r>
              <w:rPr>
                <w:rFonts w:hint="eastAsia" w:ascii="仿宋_GB2312" w:hAnsi="仿宋_GB2312" w:eastAsia="仿宋_GB2312" w:cs="仿宋_GB2312"/>
                <w:color w:val="auto"/>
                <w:kern w:val="0"/>
                <w:sz w:val="24"/>
                <w:szCs w:val="24"/>
                <w:highlight w:val="none"/>
              </w:rPr>
              <w:t>0%以上</w:t>
            </w:r>
            <w:r>
              <w:rPr>
                <w:rFonts w:hint="eastAsia" w:ascii="仿宋_GB2312" w:hAnsi="仿宋_GB2312" w:eastAsia="仿宋_GB2312" w:cs="仿宋_GB2312"/>
                <w:b w:val="0"/>
                <w:bCs w:val="0"/>
                <w:color w:val="000000"/>
                <w:kern w:val="0"/>
                <w:sz w:val="24"/>
                <w:szCs w:val="24"/>
                <w:highlight w:val="none"/>
                <w:lang w:val="en-US" w:eastAsia="zh-CN" w:bidi="ar-SA"/>
              </w:rPr>
              <w:t>）</w:t>
            </w:r>
            <w:r>
              <w:rPr>
                <w:rFonts w:hint="eastAsia" w:ascii="仿宋_GB2312" w:hAnsi="仿宋_GB2312" w:eastAsia="仿宋_GB2312" w:cs="仿宋_GB2312"/>
                <w:color w:val="auto"/>
                <w:kern w:val="0"/>
                <w:sz w:val="24"/>
                <w:szCs w:val="24"/>
                <w:highlight w:val="none"/>
                <w:lang w:eastAsia="zh-CN"/>
              </w:rPr>
              <w:t>。</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b/>
                <w:bCs/>
                <w:color w:val="auto"/>
                <w:sz w:val="24"/>
                <w:szCs w:val="24"/>
                <w:highlight w:val="none"/>
              </w:rPr>
            </w:pPr>
          </w:p>
        </w:tc>
        <w:tc>
          <w:tcPr>
            <w:tcW w:w="53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利用厂区条件建设光伏发电或风力发电等可再生能源利用设施。</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16</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低零碳技术</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rPr>
              <w:t>积极推广风（光）储充一体化技术、多能互补技术、绿电直供技术等先进低碳能源技术。</w:t>
            </w:r>
            <w:r>
              <w:rPr>
                <w:rFonts w:hint="eastAsia" w:ascii="仿宋_GB2312" w:hAnsi="仿宋_GB2312" w:eastAsia="仿宋_GB2312" w:cs="仿宋_GB2312"/>
                <w:b w:val="0"/>
                <w:bCs w:val="0"/>
                <w:color w:val="000000"/>
                <w:kern w:val="0"/>
                <w:sz w:val="24"/>
                <w:szCs w:val="24"/>
                <w:highlight w:val="none"/>
                <w:lang w:val="en-US" w:eastAsia="zh-CN" w:bidi="ar-SA"/>
              </w:rPr>
              <w:t>采用国家和福建省节能、低碳技术推广目录中推荐的技术或产品，应用节能、低碳或负碳技术减少温室气体排放。</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17</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低零碳供应链</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向上游供应商获取原材料碳足迹相关数据，并采取措施推动供应链全链条低零碳发展。</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18</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vMerge w:val="restart"/>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产品生态设计及评价</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按照GB/T 24256对生产的产品进行生态设计，优化产品设计和生产工艺，减少原辅材料和能源的消耗。</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b/>
                <w:bCs/>
                <w:color w:val="auto"/>
                <w:sz w:val="24"/>
                <w:szCs w:val="24"/>
                <w:highlight w:val="none"/>
              </w:rPr>
            </w:pPr>
          </w:p>
        </w:tc>
        <w:tc>
          <w:tcPr>
            <w:tcW w:w="53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kern w:val="0"/>
                <w:sz w:val="24"/>
                <w:szCs w:val="24"/>
                <w:highlight w:val="none"/>
              </w:rPr>
            </w:pP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按照GB/T 32161等适用标准对生产的产品进行生态设计产品评价。</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13" w:hRule="atLeast"/>
          <w:jc w:val="center"/>
        </w:trPr>
        <w:tc>
          <w:tcPr>
            <w:tcW w:w="795" w:type="dxa"/>
            <w:vMerge w:val="continue"/>
            <w:tcBorders>
              <w:left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19</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产品碳足迹评价</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采用GB/T 24067等标准开展产品碳足迹核算或认证工作，根据核算结果实施产品碳足迹改善措施。</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vMerge w:val="continue"/>
            <w:tcBorders>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auto"/>
                <w:kern w:val="0"/>
                <w:sz w:val="24"/>
                <w:szCs w:val="24"/>
                <w:highlight w:val="none"/>
                <w:lang w:val="en-US" w:eastAsia="zh-CN" w:bidi="ar-SA"/>
              </w:rPr>
            </w:pPr>
          </w:p>
        </w:tc>
        <w:tc>
          <w:tcPr>
            <w:tcW w:w="531"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20</w:t>
            </w:r>
          </w:p>
        </w:tc>
        <w:tc>
          <w:tcPr>
            <w:tcW w:w="1201" w:type="dxa"/>
            <w:vMerge w:val="continue"/>
            <w:tcBorders>
              <w:top w:val="single" w:color="auto" w:sz="4" w:space="0"/>
              <w:left w:val="single" w:color="auto" w:sz="4" w:space="0"/>
              <w:bottom w:val="single" w:color="auto" w:sz="4" w:space="0"/>
              <w:right w:val="single" w:color="auto" w:sz="4" w:space="0"/>
            </w:tcBorders>
            <w:vAlign w:val="center"/>
          </w:tcPr>
          <w:p>
            <w:pPr>
              <w:wordWrap/>
              <w:adjustRightInd w:val="0"/>
              <w:snapToGrid w:val="0"/>
              <w:spacing w:before="0" w:beforeAutospacing="0" w:after="0" w:afterAutospacing="0" w:line="260" w:lineRule="exact"/>
              <w:ind w:left="0" w:right="0"/>
              <w:rPr>
                <w:rFonts w:hint="eastAsia" w:ascii="仿宋_GB2312" w:hAnsi="仿宋_GB2312" w:eastAsia="仿宋_GB2312" w:cs="仿宋_GB2312"/>
                <w:color w:val="auto"/>
                <w:sz w:val="24"/>
                <w:szCs w:val="24"/>
                <w:highlight w:val="none"/>
              </w:rPr>
            </w:pPr>
          </w:p>
        </w:tc>
        <w:tc>
          <w:tcPr>
            <w:tcW w:w="746"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能源审计和节能诊断</w:t>
            </w:r>
          </w:p>
        </w:tc>
        <w:tc>
          <w:tcPr>
            <w:tcW w:w="487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both"/>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定期开展节能诊断或能源审计，挖掘节能减碳空间，提出合理化节能减碳措施。</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5</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95"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bCs/>
                <w:color w:val="000000"/>
                <w:kern w:val="0"/>
                <w:sz w:val="24"/>
                <w:szCs w:val="24"/>
                <w:highlight w:val="none"/>
                <w:lang w:val="en-US" w:eastAsia="zh-CN" w:bidi="ar-SA"/>
              </w:rPr>
            </w:pPr>
          </w:p>
        </w:tc>
        <w:tc>
          <w:tcPr>
            <w:tcW w:w="7350" w:type="dxa"/>
            <w:gridSpan w:val="4"/>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合计</w:t>
            </w:r>
          </w:p>
        </w:tc>
        <w:tc>
          <w:tcPr>
            <w:tcW w:w="612"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000000"/>
                <w:kern w:val="0"/>
                <w:sz w:val="24"/>
                <w:szCs w:val="24"/>
                <w:highlight w:val="none"/>
                <w:lang w:val="en-US" w:eastAsia="zh-CN" w:bidi="ar-SA"/>
              </w:rPr>
              <w:t>100</w:t>
            </w:r>
          </w:p>
        </w:tc>
        <w:tc>
          <w:tcPr>
            <w:tcW w:w="464" w:type="dxa"/>
            <w:tcBorders>
              <w:top w:val="single" w:color="auto" w:sz="4" w:space="0"/>
              <w:left w:val="single" w:color="auto" w:sz="4" w:space="0"/>
              <w:bottom w:val="single" w:color="auto" w:sz="4" w:space="0"/>
              <w:right w:val="single" w:color="auto" w:sz="4" w:space="0"/>
            </w:tcBorders>
            <w:vAlign w:val="center"/>
          </w:tcPr>
          <w:p>
            <w:pPr>
              <w:widowControl/>
              <w:wordWrap/>
              <w:adjustRightInd w:val="0"/>
              <w:snapToGrid w:val="0"/>
              <w:spacing w:before="0" w:beforeAutospacing="0" w:after="0" w:afterAutospacing="0" w:line="260" w:lineRule="exact"/>
              <w:ind w:left="0" w:right="0" w:firstLine="0" w:firstLineChars="0"/>
              <w:jc w:val="center"/>
              <w:textAlignment w:val="center"/>
              <w:rPr>
                <w:rFonts w:hint="eastAsia" w:ascii="仿宋_GB2312" w:hAnsi="仿宋_GB2312" w:eastAsia="仿宋_GB2312" w:cs="仿宋_GB2312"/>
                <w:b w:val="0"/>
                <w:bCs w:val="0"/>
                <w:color w:val="auto"/>
                <w:kern w:val="0"/>
                <w:sz w:val="24"/>
                <w:szCs w:val="24"/>
                <w:highlight w:val="none"/>
                <w:lang w:val="en-US" w:eastAsia="zh-CN" w:bidi="ar-SA"/>
              </w:rPr>
            </w:pPr>
          </w:p>
        </w:tc>
      </w:tr>
    </w:tbl>
    <w:p>
      <w:pPr>
        <w:widowControl w:val="0"/>
        <w:adjustRightInd w:val="0"/>
        <w:snapToGrid w:val="0"/>
        <w:spacing w:before="0" w:beforeAutospacing="0" w:after="0" w:afterAutospacing="0" w:line="400" w:lineRule="atLeast"/>
        <w:ind w:left="0" w:right="0" w:firstLine="420" w:firstLineChars="200"/>
        <w:jc w:val="both"/>
        <w:rPr>
          <w:rFonts w:hint="default"/>
          <w:color w:val="auto"/>
        </w:rPr>
      </w:pPr>
      <w:r>
        <w:rPr>
          <w:rFonts w:hint="eastAsia" w:ascii="仿宋_GB2312" w:hAnsi="仿宋_GB2312" w:eastAsia="仿宋_GB2312" w:cs="仿宋_GB2312"/>
          <w:color w:val="auto"/>
          <w:kern w:val="2"/>
          <w:sz w:val="21"/>
          <w:szCs w:val="21"/>
          <w:highlight w:val="none"/>
          <w:lang w:val="en-US" w:eastAsia="zh-CN"/>
        </w:rPr>
        <w:t>注：评价指标来源于福建省地方标准《低零碳工厂建设导则》（DB35/T 2285—2025）《工业企业碳效评价导则》（DB35/T 2258-2025），按照满足程度在0分到满分中取值。</w:t>
      </w:r>
    </w:p>
    <w:sectPr>
      <w:footerReference r:id="rId4" w:type="default"/>
      <w:pgSz w:w="11906" w:h="16838"/>
      <w:pgMar w:top="2041" w:right="1531" w:bottom="1644" w:left="1531"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00002FF" w:usb1="4000ACFF" w:usb2="00000001" w:usb3="00000000" w:csb0="2000019F" w:csb1="00000000"/>
  </w:font>
  <w:font w:name="方正仿宋简体">
    <w:altName w:val="微软雅黑"/>
    <w:panose1 w:val="02010601030101010101"/>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方正书宋_GBK">
    <w:altName w:val="宋体"/>
    <w:panose1 w:val="02000000000000000000"/>
    <w:charset w:val="86"/>
    <w:family w:val="auto"/>
    <w:pitch w:val="default"/>
    <w:sig w:usb0="00000001" w:usb1="08000000" w:usb2="00000000" w:usb3="00000000" w:csb0="00040000" w:csb1="00000000"/>
  </w:font>
  <w:font w:name="DejaVu Sans">
    <w:altName w:val="Segoe Print"/>
    <w:panose1 w:val="020B0603030804020204"/>
    <w:charset w:val="00"/>
    <w:family w:val="auto"/>
    <w:pitch w:val="default"/>
    <w:sig w:usb0="E7006EFF" w:usb1="D200FDFF" w:usb2="0A246029" w:usb3="0400200C" w:csb0="600001FF" w:csb1="DFFF0000"/>
  </w:font>
  <w:font w:name="方正黑体_GBK">
    <w:altName w:val="黑体"/>
    <w:panose1 w:val="02000000000000000000"/>
    <w:charset w:val="86"/>
    <w:family w:val="auto"/>
    <w:pitch w:val="default"/>
    <w:sig w:usb0="00000001" w:usb1="08000000" w:usb2="00000000" w:usb3="00000000" w:csb0="00040000" w:csb1="00000000"/>
  </w:font>
  <w:font w:name="方正仿宋_GBK">
    <w:altName w:val="微软雅黑"/>
    <w:panose1 w:val="02000000000000000000"/>
    <w:charset w:val="86"/>
    <w:family w:val="auto"/>
    <w:pitch w:val="default"/>
    <w:sig w:usb0="00000001" w:usb1="08000000" w:usb2="00000000" w:usb3="00000000" w:csb0="00040000" w:csb1="00000000"/>
  </w:font>
  <w:font w:name="方正楷体_GBK">
    <w:altName w:val="楷体_GB2312"/>
    <w:panose1 w:val="02000000000000000000"/>
    <w:charset w:val="86"/>
    <w:family w:val="auto"/>
    <w:pitch w:val="default"/>
    <w:sig w:usb0="00000001" w:usb1="08000000" w:usb2="00000000" w:usb3="00000000" w:csb0="00040000" w:csb1="00000000"/>
  </w:font>
  <w:font w:name="方正宋体S-超大字符集">
    <w:altName w:val="宋体"/>
    <w:panose1 w:val="02000000000000000000"/>
    <w:charset w:val="86"/>
    <w:family w:val="auto"/>
    <w:pitch w:val="default"/>
    <w:sig w:usb0="00000001" w:usb1="08000000" w:usb2="00000000" w:usb3="00000000" w:csb0="00040000" w:csb1="00000000"/>
  </w:font>
  <w:font w:name="汉仪叶叶相思体简">
    <w:altName w:val="宋体"/>
    <w:panose1 w:val="0201050906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8"/>
    </w:pPr>
    <w:r>
      <w:rPr>
        <w:rFonts w:ascii="Times New Roman" w:hAnsi="Times New Roman" w:eastAsia="方正仿宋简体" w:cs="Times New Roman"/>
        <w:kern w:val="2"/>
        <w:sz w:val="18"/>
        <w:szCs w:val="24"/>
        <w:lang w:val="en-US" w:eastAsia="zh-CN" w:bidi="ar-SA"/>
      </w:rPr>
      <w:pict>
        <v:rect id="文本框 2" o:spid="_x0000_s1025" style="position:absolute;left:0;margin-top:-17.25pt;height:144pt;width:144pt;mso-position-horizontal:outside;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14.17pt,0.00pt,14.17pt,0.00pt" style="mso-fit-shape-to-text:t;">
            <w:txbxContent>
              <w:p>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revisionView w:markup="0"/>
  <w:documentProtection w:edit="readOnly" w:enforcement="0"/>
  <w:defaultTabStop w:val="420"/>
  <w:drawingGridHorizontalSpacing w:val="160"/>
  <w:drawingGridVerticalSpacing w:val="59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qFormat="1" w:unhideWhenUsed="0" w:uiPriority="0" w:name="Balloon Text"/>
  </w:latentStyles>
  <w:style w:type="paragraph" w:default="1" w:styleId="1">
    <w:name w:val="Normal"/>
    <w:next w:val="2"/>
    <w:qFormat/>
    <w:uiPriority w:val="0"/>
    <w:pPr>
      <w:widowControl w:val="0"/>
      <w:jc w:val="both"/>
    </w:pPr>
    <w:rPr>
      <w:rFonts w:ascii="Times New Roman" w:hAnsi="Times New Roman" w:eastAsia="方正仿宋简体" w:cs="Times New Roman"/>
      <w:kern w:val="2"/>
      <w:sz w:val="32"/>
      <w:szCs w:val="24"/>
      <w:lang w:val="en-US" w:eastAsia="zh-CN" w:bidi="ar-SA"/>
    </w:rPr>
  </w:style>
  <w:style w:type="paragraph" w:styleId="4">
    <w:name w:val="heading 3"/>
    <w:basedOn w:val="1"/>
    <w:next w:val="1"/>
    <w:unhideWhenUsed/>
    <w:qFormat/>
    <w:uiPriority w:val="0"/>
    <w:pPr>
      <w:spacing w:before="100" w:beforeAutospacing="1" w:after="100" w:afterAutospacing="1"/>
      <w:jc w:val="left"/>
    </w:pPr>
    <w:rPr>
      <w:rFonts w:hint="eastAsia" w:ascii="宋体" w:hAnsi="宋体" w:eastAsia="宋体" w:cs="宋体"/>
      <w:b/>
      <w:bCs/>
      <w:kern w:val="0"/>
      <w:sz w:val="27"/>
      <w:szCs w:val="27"/>
      <w:lang w:val="en-US" w:eastAsia="zh-CN"/>
    </w:rPr>
  </w:style>
  <w:style w:type="character" w:default="1" w:styleId="11">
    <w:name w:val="Default Paragraph Font"/>
    <w:semiHidden/>
    <w:qFormat/>
    <w:uiPriority w:val="0"/>
  </w:style>
  <w:style w:type="paragraph" w:styleId="2">
    <w:name w:val="Body Text First Indent 2"/>
    <w:next w:val="3"/>
    <w:unhideWhenUsed/>
    <w:qFormat/>
    <w:uiPriority w:val="99"/>
    <w:pPr>
      <w:widowControl w:val="0"/>
      <w:spacing w:after="120"/>
      <w:ind w:left="0" w:leftChars="0" w:firstLine="420"/>
      <w:jc w:val="both"/>
    </w:pPr>
    <w:rPr>
      <w:rFonts w:ascii="Calibri" w:hAnsi="Calibri" w:eastAsia="宋体" w:cs="Times New Roman"/>
      <w:kern w:val="2"/>
      <w:sz w:val="21"/>
      <w:szCs w:val="24"/>
      <w:lang w:val="en-US" w:eastAsia="zh-CN" w:bidi="ar-SA"/>
    </w:rPr>
  </w:style>
  <w:style w:type="paragraph" w:styleId="3">
    <w:name w:val="index 6"/>
    <w:next w:val="1"/>
    <w:unhideWhenUsed/>
    <w:qFormat/>
    <w:uiPriority w:val="99"/>
    <w:pPr>
      <w:widowControl w:val="0"/>
      <w:ind w:left="2100"/>
      <w:jc w:val="both"/>
    </w:pPr>
    <w:rPr>
      <w:rFonts w:ascii="Times New Roman" w:hAnsi="Times New Roman" w:eastAsia="宋体" w:cs="Times New Roman"/>
      <w:kern w:val="2"/>
      <w:sz w:val="21"/>
      <w:szCs w:val="24"/>
      <w:lang w:val="en-US" w:eastAsia="zh-CN" w:bidi="ar-SA"/>
    </w:rPr>
  </w:style>
  <w:style w:type="paragraph" w:styleId="5">
    <w:name w:val="Body Text"/>
    <w:basedOn w:val="1"/>
    <w:next w:val="6"/>
    <w:unhideWhenUsed/>
    <w:qFormat/>
    <w:uiPriority w:val="99"/>
    <w:pPr>
      <w:widowControl w:val="0"/>
      <w:spacing w:after="120"/>
      <w:jc w:val="both"/>
    </w:pPr>
    <w:rPr>
      <w:rFonts w:ascii="Times New Roman" w:hAnsi="Times New Roman" w:eastAsia="方正仿宋简体" w:cs="Times New Roman"/>
      <w:kern w:val="2"/>
      <w:sz w:val="21"/>
      <w:szCs w:val="22"/>
      <w:lang w:val="en-US" w:eastAsia="zh-CN" w:bidi="ar-SA"/>
    </w:rPr>
  </w:style>
  <w:style w:type="paragraph" w:styleId="6">
    <w:name w:val="Title"/>
    <w:basedOn w:val="1"/>
    <w:next w:val="1"/>
    <w:qFormat/>
    <w:uiPriority w:val="10"/>
    <w:pPr>
      <w:jc w:val="center"/>
      <w:outlineLvl w:val="0"/>
    </w:pPr>
    <w:rPr>
      <w:rFonts w:ascii="方正小标宋_GBK" w:hAnsi="方正小标宋_GBK" w:eastAsia="方正小标宋_GBK" w:cs="方正小标宋_GBK"/>
      <w:sz w:val="44"/>
      <w:szCs w:val="44"/>
    </w:rPr>
  </w:style>
  <w:style w:type="paragraph" w:styleId="7">
    <w:name w:val="Balloon Text"/>
    <w:basedOn w:val="1"/>
    <w:semiHidden/>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12">
    <w:name w:val="page number"/>
    <w:qFormat/>
    <w:uiPriority w:val="0"/>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Words>3</Words>
  <Characters>22</Characters>
  <Lines>1</Lines>
  <Paragraphs>1</Paragraphs>
  <ScaleCrop>false</ScaleCrop>
  <LinksUpToDate>false</LinksUpToDate>
  <CharactersWithSpaces>0</CharactersWithSpaces>
  <Application>WPS Office 专业版_9.1.0.4569_{F1E327BC-269C-435d-A152-05C5408002CA}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2013-12-24T10:22:00Z</dcterms:created>
  <dc:creator>jane</dc:creator>
  <cp:lastModifiedBy>Administrator</cp:lastModifiedBy>
  <cp:lastPrinted>2026-08-15T16:09:00Z</cp:lastPrinted>
  <dcterms:modified xsi:type="dcterms:W3CDTF">2026-08-26T01:51:40Z</dcterms:modified>
  <dc:title>福建省经济贸易委员会</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2052-9.1.0.4569</vt:lpwstr>
  </property>
  <property fmtid="{D5CDD505-2E9C-101B-9397-08002B2CF9AE}" pid="3" name="ICV">
    <vt:lpwstr>532094C4FCDEE86A37E87E6A4966AAB4_43</vt:lpwstr>
  </property>
</Properties>
</file>