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spacing w:line="570" w:lineRule="exact"/>
        <w:jc w:val="center"/>
        <w:rPr>
          <w:rFonts w:hint="eastAsia" w:ascii="方正小标宋简体" w:hAnsi="宋体" w:eastAsia="方正小标宋简体"/>
          <w:bCs/>
          <w:sz w:val="32"/>
          <w:szCs w:val="32"/>
        </w:rPr>
      </w:pPr>
    </w:p>
    <w:p>
      <w:pPr>
        <w:spacing w:line="570" w:lineRule="exact"/>
        <w:jc w:val="center"/>
        <w:rPr>
          <w:rFonts w:hint="default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福建省工业和信息化厅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2026年福建省第一期专精特新“小巨人”企业高级经营管理人才培训服务采购项目</w:t>
      </w:r>
      <w:r>
        <w:rPr>
          <w:rFonts w:hint="default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报价单</w:t>
      </w:r>
    </w:p>
    <w:p>
      <w:pPr>
        <w:spacing w:line="580" w:lineRule="exact"/>
        <w:rPr>
          <w:rFonts w:ascii="方正小标宋简体" w:hAnsi="方正小标宋简体" w:eastAsia="方正小标宋简体" w:cs="方正小标宋简体"/>
          <w:b/>
          <w:sz w:val="32"/>
          <w:szCs w:val="32"/>
        </w:rPr>
      </w:pPr>
    </w:p>
    <w:p>
      <w:pPr>
        <w:spacing w:line="680" w:lineRule="exact"/>
        <w:rPr>
          <w:rFonts w:ascii="仿宋_GB2312" w:hAnsi="仿宋_GB2312" w:eastAsia="仿宋_GB2312" w:cs="仿宋_GB2312"/>
          <w:kern w:val="0"/>
          <w:sz w:val="27"/>
          <w:szCs w:val="27"/>
        </w:rPr>
      </w:pP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 xml:space="preserve">                                      </w:t>
      </w:r>
      <w:r>
        <w:rPr>
          <w:rFonts w:ascii="方正小标宋简体" w:hAnsi="方正小标宋简体" w:eastAsia="方正小标宋简体" w:cs="方正小标宋简体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年    月    日</w:t>
      </w:r>
    </w:p>
    <w:p>
      <w:pPr>
        <w:spacing w:line="680" w:lineRule="exact"/>
        <w:rPr>
          <w:rFonts w:ascii="仿宋_GB2312" w:hAnsi="仿宋_GB2312" w:eastAsia="仿宋_GB2312" w:cs="仿宋_GB2312"/>
          <w:color w:val="000000"/>
          <w:sz w:val="27"/>
          <w:szCs w:val="27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报价供应商：</w:t>
      </w:r>
      <w:r>
        <w:rPr>
          <w:rFonts w:hint="eastAsia" w:ascii="仿宋_GB2312" w:hAnsi="仿宋_GB2312" w:eastAsia="仿宋_GB2312" w:cs="仿宋_GB2312"/>
          <w:color w:val="000000"/>
          <w:sz w:val="27"/>
          <w:szCs w:val="27"/>
          <w:u w:val="single"/>
        </w:rPr>
        <w:t xml:space="preserve">（盖章）                                            </w:t>
      </w:r>
    </w:p>
    <w:p>
      <w:pPr>
        <w:spacing w:line="680" w:lineRule="exact"/>
        <w:rPr>
          <w:rFonts w:hint="eastAsia" w:ascii="仿宋_GB2312" w:hAnsi="仿宋_GB2312" w:eastAsia="仿宋_GB2312" w:cs="仿宋_GB2312"/>
          <w:kern w:val="0"/>
          <w:sz w:val="27"/>
          <w:szCs w:val="27"/>
        </w:rPr>
      </w:pPr>
    </w:p>
    <w:p>
      <w:pPr>
        <w:spacing w:line="680" w:lineRule="exact"/>
        <w:rPr>
          <w:rFonts w:ascii="仿宋_GB2312" w:hAnsi="仿宋_GB2312" w:eastAsia="仿宋_GB2312" w:cs="仿宋_GB2312"/>
          <w:color w:val="000000"/>
          <w:sz w:val="27"/>
          <w:szCs w:val="27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联系人：</w:t>
      </w:r>
      <w:r>
        <w:rPr>
          <w:rFonts w:hint="eastAsia" w:ascii="仿宋_GB2312" w:hAnsi="仿宋_GB2312" w:eastAsia="仿宋_GB2312" w:cs="仿宋_GB2312"/>
          <w:color w:val="000000"/>
          <w:sz w:val="27"/>
          <w:szCs w:val="27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kern w:val="0"/>
          <w:sz w:val="27"/>
          <w:szCs w:val="27"/>
        </w:rPr>
        <w:t>联系方式</w:t>
      </w:r>
      <w:r>
        <w:rPr>
          <w:rFonts w:hint="eastAsia" w:ascii="仿宋_GB2312" w:hAnsi="仿宋_GB2312" w:eastAsia="仿宋_GB2312" w:cs="仿宋_GB2312"/>
          <w:color w:val="000000"/>
          <w:sz w:val="27"/>
          <w:szCs w:val="27"/>
          <w:u w:val="single"/>
        </w:rPr>
        <w:t xml:space="preserve">                         </w:t>
      </w:r>
    </w:p>
    <w:tbl>
      <w:tblPr>
        <w:tblStyle w:val="2"/>
        <w:tblpPr w:leftFromText="180" w:rightFromText="180" w:vertAnchor="text" w:horzAnchor="page" w:tblpX="1768" w:tblpY="516"/>
        <w:tblOverlap w:val="never"/>
        <w:tblW w:w="863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950"/>
        <w:gridCol w:w="1282"/>
        <w:gridCol w:w="1473"/>
        <w:gridCol w:w="1546"/>
        <w:gridCol w:w="14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9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序号 </w:t>
            </w:r>
          </w:p>
        </w:tc>
        <w:tc>
          <w:tcPr>
            <w:tcW w:w="19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服务</w:t>
            </w:r>
          </w:p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名称 </w:t>
            </w:r>
          </w:p>
        </w:tc>
        <w:tc>
          <w:tcPr>
            <w:tcW w:w="1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数量 </w:t>
            </w:r>
          </w:p>
        </w:tc>
        <w:tc>
          <w:tcPr>
            <w:tcW w:w="14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单位 </w:t>
            </w:r>
          </w:p>
        </w:tc>
        <w:tc>
          <w:tcPr>
            <w:tcW w:w="15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eastAsia="zh-CN"/>
              </w:rPr>
              <w:t>总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价</w:t>
            </w:r>
          </w:p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（元） </w:t>
            </w:r>
          </w:p>
        </w:tc>
        <w:tc>
          <w:tcPr>
            <w:tcW w:w="14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最高限价</w:t>
            </w:r>
          </w:p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（元）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93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>1</w:t>
            </w:r>
          </w:p>
        </w:tc>
        <w:tc>
          <w:tcPr>
            <w:tcW w:w="19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45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default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福建省工业和信息化厅</w:t>
            </w: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2026年福建省第一期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专精特新“小巨人”企业高级经营管理人才培训服务采购项目</w:t>
            </w:r>
          </w:p>
          <w:p>
            <w:pPr>
              <w:autoSpaceDE w:val="0"/>
              <w:autoSpaceDN w:val="0"/>
              <w:spacing w:line="58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</w:p>
        </w:tc>
        <w:tc>
          <w:tcPr>
            <w:tcW w:w="1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4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 </w:t>
            </w:r>
          </w:p>
        </w:tc>
        <w:tc>
          <w:tcPr>
            <w:tcW w:w="154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</w:p>
        </w:tc>
        <w:tc>
          <w:tcPr>
            <w:tcW w:w="14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lang w:val="en-US" w:eastAsia="zh-CN"/>
              </w:rPr>
              <w:t>60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</w:rPr>
              <w:t xml:space="preserve">0000 </w:t>
            </w:r>
          </w:p>
        </w:tc>
      </w:tr>
    </w:tbl>
    <w:p>
      <w:pPr>
        <w:spacing w:line="580" w:lineRule="exact"/>
        <w:rPr>
          <w:rFonts w:hint="eastAsia" w:ascii="仿宋_GB2312" w:hAnsi="仿宋_GB2312" w:eastAsia="仿宋_GB2312" w:cs="仿宋_GB2312"/>
          <w:color w:val="000000"/>
          <w:sz w:val="27"/>
          <w:szCs w:val="27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7"/>
          <w:szCs w:val="27"/>
        </w:rPr>
        <w:t>备注：</w:t>
      </w:r>
      <w:r>
        <w:rPr>
          <w:rFonts w:hint="eastAsia" w:ascii="仿宋_GB2312" w:hAnsi="仿宋_GB2312" w:eastAsia="仿宋_GB2312" w:cs="仿宋_GB2312"/>
          <w:color w:val="000000"/>
          <w:sz w:val="27"/>
          <w:szCs w:val="27"/>
          <w:lang w:val="en-US" w:eastAsia="zh-CN"/>
        </w:rPr>
        <w:t>1、报价总价超过600000元的视为无效报价；</w:t>
      </w:r>
    </w:p>
    <w:p>
      <w:pPr>
        <w:spacing w:line="580" w:lineRule="exact"/>
        <w:ind w:firstLine="810" w:firstLineChars="300"/>
        <w:rPr>
          <w:rFonts w:ascii="仿宋_GB2312" w:hAnsi="仿宋_GB2312" w:eastAsia="仿宋_GB2312" w:cs="仿宋_GB2312"/>
          <w:color w:val="000000"/>
          <w:sz w:val="27"/>
          <w:szCs w:val="27"/>
        </w:rPr>
      </w:pPr>
      <w:r>
        <w:rPr>
          <w:rFonts w:hint="eastAsia" w:ascii="仿宋_GB2312" w:hAnsi="仿宋_GB2312" w:eastAsia="仿宋_GB2312" w:cs="仿宋_GB2312"/>
          <w:color w:val="000000"/>
          <w:sz w:val="27"/>
          <w:szCs w:val="27"/>
          <w:lang w:val="en-US" w:eastAsia="zh-CN"/>
        </w:rPr>
        <w:t>2、对应总价，提供对应分项报价表。</w:t>
      </w:r>
    </w:p>
    <w:p/>
    <w:sectPr>
      <w:pgSz w:w="11906" w:h="16838"/>
      <w:pgMar w:top="1701" w:right="1474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FF6D852C"/>
    <w:rsid w:val="FFDF172E"/>
    <w:rsid w:val="FFF7C3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2024-07-04T01:54:00Z</dcterms:created>
  <dc:creator>Administrator</dc:creator>
  <cp:lastModifiedBy>吴京</cp:lastModifiedBy>
  <cp:lastPrinted>2024-07-03T18:53:00Z</cp:lastPrinted>
  <dcterms:modified xsi:type="dcterms:W3CDTF">2026-07-28T17:41:29Z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64055DE027784D1180CC8993AAE8D186_11</vt:lpwstr>
  </property>
</Properties>
</file>