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DD4" w:rsidRDefault="00250D0B">
      <w:pPr>
        <w:autoSpaceDE w:val="0"/>
        <w:autoSpaceDN w:val="0"/>
        <w:adjustRightInd w:val="0"/>
        <w:spacing w:line="580" w:lineRule="exact"/>
        <w:jc w:val="center"/>
        <w:rPr>
          <w:rFonts w:ascii="方正小标宋简体" w:eastAsia="方正小标宋简体" w:hAnsi="方正小标宋简体" w:cs="方正小标宋简体"/>
          <w:bCs/>
          <w:kern w:val="0"/>
          <w:sz w:val="44"/>
          <w:szCs w:val="44"/>
        </w:rPr>
      </w:pPr>
      <w:r>
        <w:rPr>
          <w:rFonts w:ascii="方正小标宋简体" w:eastAsia="方正小标宋简体" w:hAnsi="方正小标宋简体" w:cs="方正小标宋简体" w:hint="eastAsia"/>
          <w:bCs/>
          <w:kern w:val="0"/>
          <w:sz w:val="44"/>
          <w:szCs w:val="44"/>
        </w:rPr>
        <w:t>厦门市无线电管理局</w:t>
      </w:r>
      <w:r>
        <w:rPr>
          <w:rFonts w:ascii="方正小标宋简体" w:eastAsia="方正小标宋简体" w:hAnsi="方正小标宋简体" w:cs="方正小标宋简体" w:hint="eastAsia"/>
          <w:bCs/>
          <w:kern w:val="0"/>
          <w:sz w:val="44"/>
          <w:szCs w:val="44"/>
        </w:rPr>
        <w:t>车载式</w:t>
      </w:r>
      <w:r>
        <w:rPr>
          <w:rFonts w:ascii="方正小标宋简体" w:eastAsia="方正小标宋简体" w:hAnsi="方正小标宋简体" w:cs="方正小标宋简体" w:hint="eastAsia"/>
          <w:bCs/>
          <w:kern w:val="0"/>
          <w:sz w:val="44"/>
          <w:szCs w:val="44"/>
        </w:rPr>
        <w:t>导航卫星干扰侦测系统购置</w:t>
      </w:r>
      <w:r>
        <w:rPr>
          <w:rFonts w:ascii="方正小标宋简体" w:eastAsia="方正小标宋简体" w:hAnsi="方正小标宋简体" w:cs="方正小标宋简体" w:hint="eastAsia"/>
          <w:bCs/>
          <w:kern w:val="0"/>
          <w:sz w:val="44"/>
          <w:szCs w:val="44"/>
        </w:rPr>
        <w:t>项目</w:t>
      </w:r>
      <w:r>
        <w:rPr>
          <w:rFonts w:ascii="方正小标宋简体" w:eastAsia="方正小标宋简体" w:hAnsi="方正小标宋简体" w:cs="方正小标宋简体" w:hint="eastAsia"/>
          <w:bCs/>
          <w:kern w:val="0"/>
          <w:sz w:val="44"/>
          <w:szCs w:val="44"/>
        </w:rPr>
        <w:t>采购内容及要求</w:t>
      </w:r>
    </w:p>
    <w:p w:rsidR="008B3DD4" w:rsidRDefault="008B3DD4">
      <w:pPr>
        <w:autoSpaceDE w:val="0"/>
        <w:autoSpaceDN w:val="0"/>
        <w:adjustRightInd w:val="0"/>
        <w:spacing w:line="580" w:lineRule="exact"/>
        <w:jc w:val="center"/>
        <w:rPr>
          <w:rFonts w:ascii="方正小标宋简体" w:eastAsia="方正小标宋简体" w:hAnsi="方正小标宋简体" w:cs="方正小标宋简体"/>
          <w:bCs/>
          <w:kern w:val="0"/>
          <w:sz w:val="44"/>
          <w:szCs w:val="44"/>
        </w:rPr>
      </w:pPr>
    </w:p>
    <w:p w:rsidR="008B3DD4" w:rsidRDefault="00250D0B">
      <w:pPr>
        <w:autoSpaceDE w:val="0"/>
        <w:autoSpaceDN w:val="0"/>
        <w:adjustRightInd w:val="0"/>
        <w:spacing w:line="560" w:lineRule="exact"/>
        <w:rPr>
          <w:rFonts w:ascii="黑体" w:eastAsia="黑体" w:hAnsi="黑体" w:cs="宋体"/>
          <w:color w:val="000000"/>
          <w:kern w:val="0"/>
          <w:sz w:val="32"/>
          <w:szCs w:val="32"/>
        </w:rPr>
      </w:pPr>
      <w:r>
        <w:rPr>
          <w:rFonts w:ascii="黑体" w:eastAsia="黑体" w:hAnsi="黑体" w:cs="宋体" w:hint="eastAsia"/>
          <w:color w:val="000000"/>
          <w:kern w:val="0"/>
          <w:sz w:val="32"/>
          <w:szCs w:val="32"/>
        </w:rPr>
        <w:t>一、项目名称</w:t>
      </w:r>
    </w:p>
    <w:p w:rsidR="008B3DD4" w:rsidRDefault="00250D0B">
      <w:pPr>
        <w:autoSpaceDE w:val="0"/>
        <w:autoSpaceDN w:val="0"/>
        <w:adjustRightInd w:val="0"/>
        <w:spacing w:line="560" w:lineRule="exact"/>
        <w:ind w:firstLineChars="200" w:firstLine="640"/>
        <w:jc w:val="left"/>
        <w:rPr>
          <w:rFonts w:ascii="宋体" w:hAnsi="宋体" w:cs="宋体"/>
          <w:sz w:val="24"/>
        </w:rPr>
      </w:pPr>
      <w:r>
        <w:rPr>
          <w:rFonts w:ascii="仿宋_GB2312" w:eastAsia="仿宋_GB2312" w:hint="eastAsia"/>
          <w:sz w:val="32"/>
          <w:szCs w:val="32"/>
        </w:rPr>
        <w:t>车载式导航卫星干扰侦测系统购置。</w:t>
      </w:r>
    </w:p>
    <w:p w:rsidR="008B3DD4" w:rsidRDefault="00250D0B">
      <w:pPr>
        <w:pStyle w:val="2"/>
        <w:keepNext w:val="0"/>
        <w:keepLines w:val="0"/>
        <w:wordWrap w:val="0"/>
        <w:spacing w:before="0" w:after="0" w:line="360" w:lineRule="auto"/>
        <w:ind w:left="0" w:firstLine="0"/>
        <w:rPr>
          <w:rFonts w:ascii="黑体" w:eastAsia="黑体" w:hAnsi="黑体" w:cs="宋体"/>
          <w:b w:val="0"/>
          <w:bCs w:val="0"/>
          <w:color w:val="000000"/>
          <w:kern w:val="0"/>
          <w:sz w:val="32"/>
        </w:rPr>
      </w:pPr>
      <w:r>
        <w:rPr>
          <w:rFonts w:ascii="黑体" w:eastAsia="黑体" w:hAnsi="黑体" w:cs="宋体" w:hint="eastAsia"/>
          <w:b w:val="0"/>
          <w:bCs w:val="0"/>
          <w:color w:val="000000"/>
          <w:kern w:val="0"/>
          <w:sz w:val="32"/>
        </w:rPr>
        <w:t>二、项目概况</w:t>
      </w:r>
      <w:bookmarkStart w:id="0" w:name="_Toc400634576"/>
      <w:bookmarkStart w:id="1" w:name="_Toc401758532"/>
      <w:bookmarkStart w:id="2" w:name="_Toc181282886"/>
      <w:bookmarkStart w:id="3" w:name="_Toc115295775"/>
      <w:bookmarkEnd w:id="0"/>
    </w:p>
    <w:bookmarkEnd w:id="1"/>
    <w:bookmarkEnd w:id="2"/>
    <w:bookmarkEnd w:id="3"/>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本项目拟新建</w:t>
      </w:r>
      <w:r>
        <w:rPr>
          <w:rFonts w:ascii="仿宋_GB2312" w:eastAsia="仿宋_GB2312" w:hAnsi="Calibri" w:cs="Times New Roman"/>
          <w:kern w:val="2"/>
          <w:sz w:val="32"/>
          <w:szCs w:val="32"/>
        </w:rPr>
        <w:t>1</w:t>
      </w:r>
      <w:r>
        <w:rPr>
          <w:rFonts w:ascii="仿宋_GB2312" w:eastAsia="仿宋_GB2312" w:hAnsi="Calibri" w:cs="Times New Roman"/>
          <w:kern w:val="2"/>
          <w:sz w:val="32"/>
          <w:szCs w:val="32"/>
        </w:rPr>
        <w:t>套</w:t>
      </w:r>
      <w:r>
        <w:rPr>
          <w:rFonts w:ascii="仿宋_GB2312" w:eastAsia="仿宋_GB2312"/>
          <w:sz w:val="32"/>
          <w:szCs w:val="32"/>
        </w:rPr>
        <w:t>车载式导航卫星干扰侦测系统</w:t>
      </w:r>
      <w:r>
        <w:rPr>
          <w:rFonts w:ascii="仿宋_GB2312" w:eastAsia="仿宋_GB2312" w:hAnsi="Calibri" w:cs="Times New Roman"/>
          <w:kern w:val="2"/>
          <w:sz w:val="32"/>
          <w:szCs w:val="32"/>
        </w:rPr>
        <w:t>，配备卫星导航干扰监测测向主设备、一体化监测测向天线、控制终端、配套干扰监测软件及多种安装结构套件、连接线缆等</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可实现卫星导航频段内的无线电干扰信号监测、针对导航干扰查处任务的干扰源抵近排查、导航数据与频谱监测数据的融合分析、卫星导航干扰威胁评估等功能。</w:t>
      </w:r>
    </w:p>
    <w:p w:rsidR="008B3DD4" w:rsidRDefault="00250D0B">
      <w:pPr>
        <w:pStyle w:val="2"/>
        <w:keepNext w:val="0"/>
        <w:keepLines w:val="0"/>
        <w:numPr>
          <w:ilvl w:val="0"/>
          <w:numId w:val="1"/>
        </w:numPr>
        <w:wordWrap w:val="0"/>
        <w:spacing w:before="0" w:after="0" w:line="360" w:lineRule="auto"/>
        <w:ind w:left="0" w:firstLine="0"/>
        <w:rPr>
          <w:rFonts w:ascii="黑体" w:eastAsia="黑体" w:hAnsi="黑体" w:cs="宋体"/>
          <w:b w:val="0"/>
          <w:bCs w:val="0"/>
          <w:color w:val="000000"/>
          <w:kern w:val="0"/>
          <w:sz w:val="32"/>
        </w:rPr>
      </w:pPr>
      <w:bookmarkStart w:id="4" w:name="_Toc115295788"/>
      <w:r>
        <w:rPr>
          <w:rFonts w:ascii="黑体" w:eastAsia="黑体" w:hAnsi="黑体" w:cs="宋体" w:hint="eastAsia"/>
          <w:b w:val="0"/>
          <w:bCs w:val="0"/>
          <w:color w:val="000000"/>
          <w:kern w:val="0"/>
          <w:sz w:val="32"/>
        </w:rPr>
        <w:t>技术和服务要求</w:t>
      </w:r>
    </w:p>
    <w:p w:rsidR="008B3DD4" w:rsidRDefault="00250D0B">
      <w:pPr>
        <w:pStyle w:val="2"/>
        <w:keepNext w:val="0"/>
        <w:keepLines w:val="0"/>
        <w:wordWrap w:val="0"/>
        <w:spacing w:before="0" w:after="0" w:line="360" w:lineRule="auto"/>
        <w:ind w:left="0" w:firstLine="0"/>
        <w:rPr>
          <w:rFonts w:ascii="楷体_GB2312" w:eastAsia="楷体_GB2312" w:hAnsi="楷体_GB2312" w:cs="楷体_GB2312"/>
          <w:sz w:val="32"/>
          <w:szCs w:val="40"/>
        </w:rPr>
      </w:pPr>
      <w:r>
        <w:rPr>
          <w:rFonts w:ascii="楷体_GB2312" w:eastAsia="楷体_GB2312" w:hAnsi="楷体_GB2312" w:cs="楷体_GB2312" w:hint="eastAsia"/>
          <w:sz w:val="32"/>
          <w:szCs w:val="40"/>
        </w:rPr>
        <w:t>1.</w:t>
      </w:r>
      <w:r>
        <w:rPr>
          <w:rFonts w:ascii="楷体_GB2312" w:eastAsia="楷体_GB2312" w:hAnsi="楷体_GB2312" w:cs="楷体_GB2312" w:hint="eastAsia"/>
          <w:sz w:val="32"/>
          <w:szCs w:val="40"/>
        </w:rPr>
        <w:t>卫星导航干扰监测保障系统基本功能要求</w:t>
      </w:r>
    </w:p>
    <w:p w:rsidR="008B3DD4" w:rsidRDefault="00250D0B">
      <w:pPr>
        <w:pStyle w:val="null3"/>
        <w:ind w:firstLineChars="200" w:firstLine="643"/>
        <w:rPr>
          <w:rFonts w:ascii="仿宋_GB2312" w:eastAsia="仿宋_GB2312" w:hAnsi="Calibri" w:cs="Times New Roman" w:hint="default"/>
          <w:b/>
          <w:bCs/>
          <w:kern w:val="2"/>
          <w:sz w:val="32"/>
          <w:szCs w:val="32"/>
        </w:rPr>
      </w:pPr>
      <w:r>
        <w:rPr>
          <w:rFonts w:ascii="仿宋_GB2312" w:eastAsia="仿宋_GB2312" w:hAnsi="Calibri" w:cs="Times New Roman"/>
          <w:b/>
          <w:bCs/>
          <w:kern w:val="2"/>
          <w:sz w:val="32"/>
          <w:szCs w:val="32"/>
        </w:rPr>
        <w:t>（</w:t>
      </w:r>
      <w:r>
        <w:rPr>
          <w:rFonts w:ascii="仿宋_GB2312" w:eastAsia="仿宋_GB2312" w:hAnsi="Calibri" w:cs="Times New Roman"/>
          <w:b/>
          <w:bCs/>
          <w:kern w:val="2"/>
          <w:sz w:val="32"/>
          <w:szCs w:val="32"/>
        </w:rPr>
        <w:t>1</w:t>
      </w:r>
      <w:r>
        <w:rPr>
          <w:rFonts w:ascii="仿宋_GB2312" w:eastAsia="仿宋_GB2312" w:hAnsi="Calibri" w:cs="Times New Roman"/>
          <w:b/>
          <w:bCs/>
          <w:kern w:val="2"/>
          <w:sz w:val="32"/>
          <w:szCs w:val="32"/>
        </w:rPr>
        <w:t>）常规监测功能</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具备扎实的常规监测功能，能够在多任务和多用户的情况下，支持包括频段扫描、单频测量和单频测向，以及</w:t>
      </w:r>
      <w:r>
        <w:rPr>
          <w:rFonts w:ascii="仿宋_GB2312" w:eastAsia="仿宋_GB2312" w:hAnsi="Calibri" w:cs="Times New Roman"/>
          <w:kern w:val="2"/>
          <w:sz w:val="32"/>
          <w:szCs w:val="32"/>
        </w:rPr>
        <w:t>GNSS</w:t>
      </w:r>
      <w:r>
        <w:rPr>
          <w:rFonts w:ascii="仿宋_GB2312" w:eastAsia="仿宋_GB2312" w:hAnsi="Calibri" w:cs="Times New Roman"/>
          <w:kern w:val="2"/>
          <w:sz w:val="32"/>
          <w:szCs w:val="32"/>
        </w:rPr>
        <w:t>原始观测信息的实时监测，结合设备自带的数据存储、数据分析、数据传输等功能，支持行业领先的卫星导航专段应用所需的连续</w:t>
      </w:r>
      <w:r>
        <w:rPr>
          <w:rFonts w:ascii="仿宋_GB2312" w:eastAsia="仿宋_GB2312" w:hAnsi="Calibri" w:cs="Times New Roman"/>
          <w:kern w:val="2"/>
          <w:sz w:val="32"/>
          <w:szCs w:val="32"/>
        </w:rPr>
        <w:t>IQ</w:t>
      </w:r>
      <w:r>
        <w:rPr>
          <w:rFonts w:ascii="仿宋_GB2312" w:eastAsia="仿宋_GB2312" w:hAnsi="Calibri" w:cs="Times New Roman"/>
          <w:kern w:val="2"/>
          <w:sz w:val="32"/>
          <w:szCs w:val="32"/>
        </w:rPr>
        <w:t>数据采集、存储和传输能力和在线或事后</w:t>
      </w:r>
      <w:r>
        <w:rPr>
          <w:rFonts w:ascii="仿宋_GB2312" w:eastAsia="仿宋_GB2312" w:hAnsi="Calibri" w:cs="Times New Roman"/>
          <w:kern w:val="2"/>
          <w:sz w:val="32"/>
          <w:szCs w:val="32"/>
        </w:rPr>
        <w:t>IQ</w:t>
      </w:r>
      <w:r>
        <w:rPr>
          <w:rFonts w:ascii="仿宋_GB2312" w:eastAsia="仿宋_GB2312" w:hAnsi="Calibri" w:cs="Times New Roman"/>
          <w:kern w:val="2"/>
          <w:sz w:val="32"/>
          <w:szCs w:val="32"/>
        </w:rPr>
        <w:t>数据回溯测量分析等。</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除了常规频谱域的连续运行监测，设备还支持对</w:t>
      </w:r>
      <w:r>
        <w:rPr>
          <w:rFonts w:ascii="仿宋_GB2312" w:eastAsia="仿宋_GB2312" w:hAnsi="Calibri" w:cs="Times New Roman"/>
          <w:kern w:val="2"/>
          <w:sz w:val="32"/>
          <w:szCs w:val="32"/>
        </w:rPr>
        <w:t>GNSS</w:t>
      </w:r>
      <w:r>
        <w:rPr>
          <w:rFonts w:ascii="仿宋_GB2312" w:eastAsia="仿宋_GB2312" w:hAnsi="Calibri" w:cs="Times New Roman"/>
          <w:kern w:val="2"/>
          <w:sz w:val="32"/>
          <w:szCs w:val="32"/>
        </w:rPr>
        <w:lastRenderedPageBreak/>
        <w:t>相关的原始观测信息，四大系统公开频段的卫星服务质量进行连续监测，数据保存以干扰分析告警。</w:t>
      </w:r>
    </w:p>
    <w:p w:rsidR="008B3DD4" w:rsidRDefault="00250D0B">
      <w:pPr>
        <w:pStyle w:val="null3"/>
        <w:ind w:firstLineChars="200" w:firstLine="643"/>
        <w:rPr>
          <w:rFonts w:ascii="仿宋_GB2312" w:eastAsia="仿宋_GB2312" w:hAnsi="Calibri" w:cs="Times New Roman" w:hint="default"/>
          <w:b/>
          <w:bCs/>
          <w:kern w:val="2"/>
          <w:sz w:val="32"/>
          <w:szCs w:val="32"/>
        </w:rPr>
      </w:pPr>
      <w:r>
        <w:rPr>
          <w:rFonts w:ascii="仿宋_GB2312" w:eastAsia="仿宋_GB2312" w:hAnsi="Calibri" w:cs="Times New Roman"/>
          <w:b/>
          <w:bCs/>
          <w:kern w:val="2"/>
          <w:sz w:val="32"/>
          <w:szCs w:val="32"/>
        </w:rPr>
        <w:t>①频谱监测</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具备当前四种主流导航系统（包括北斗、</w:t>
      </w:r>
      <w:r>
        <w:rPr>
          <w:rFonts w:ascii="仿宋_GB2312" w:eastAsia="仿宋_GB2312" w:hAnsi="Calibri" w:cs="Times New Roman"/>
          <w:kern w:val="2"/>
          <w:sz w:val="32"/>
          <w:szCs w:val="32"/>
        </w:rPr>
        <w:t>GPS</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GLONASS</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Galileo</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重点频段的实时监测能力，频谱监测主要针对频谱域的压制干扰信号监测，通常为强压制干扰信号。结合不同的工作模式以及多种触发模式，提供更快速，更准确监测测量结果。单频测量包括</w:t>
      </w:r>
      <w:r>
        <w:rPr>
          <w:rFonts w:ascii="仿宋_GB2312" w:eastAsia="仿宋_GB2312" w:hAnsi="Calibri" w:cs="Times New Roman"/>
          <w:kern w:val="2"/>
          <w:sz w:val="32"/>
          <w:szCs w:val="32"/>
        </w:rPr>
        <w:t>ITU</w:t>
      </w:r>
      <w:r>
        <w:rPr>
          <w:rFonts w:ascii="仿宋_GB2312" w:eastAsia="仿宋_GB2312" w:hAnsi="Calibri" w:cs="Times New Roman"/>
          <w:kern w:val="2"/>
          <w:sz w:val="32"/>
          <w:szCs w:val="32"/>
        </w:rPr>
        <w:t>测量，主要是频率测量，电平测量，带宽测量和调制测量等。输出结果包括频谱图和瀑布图，</w:t>
      </w:r>
      <w:r>
        <w:rPr>
          <w:rFonts w:ascii="仿宋_GB2312" w:eastAsia="仿宋_GB2312" w:hAnsi="Calibri" w:cs="Times New Roman"/>
          <w:kern w:val="2"/>
          <w:sz w:val="32"/>
          <w:szCs w:val="32"/>
        </w:rPr>
        <w:t>ITU</w:t>
      </w:r>
      <w:r>
        <w:rPr>
          <w:rFonts w:ascii="仿宋_GB2312" w:eastAsia="仿宋_GB2312" w:hAnsi="Calibri" w:cs="Times New Roman"/>
          <w:kern w:val="2"/>
          <w:sz w:val="32"/>
          <w:szCs w:val="32"/>
        </w:rPr>
        <w:t>参数测量结果，调制识别等。</w:t>
      </w:r>
    </w:p>
    <w:p w:rsidR="008B3DD4" w:rsidRDefault="00250D0B">
      <w:pPr>
        <w:pStyle w:val="null3"/>
        <w:ind w:firstLineChars="200" w:firstLine="643"/>
        <w:rPr>
          <w:rFonts w:ascii="仿宋_GB2312" w:eastAsia="仿宋_GB2312" w:hAnsi="Calibri" w:cs="Times New Roman" w:hint="default"/>
          <w:b/>
          <w:bCs/>
          <w:kern w:val="2"/>
          <w:sz w:val="32"/>
          <w:szCs w:val="32"/>
        </w:rPr>
      </w:pPr>
      <w:r>
        <w:rPr>
          <w:rFonts w:ascii="仿宋_GB2312" w:eastAsia="仿宋_GB2312" w:hAnsi="Calibri" w:cs="Times New Roman"/>
          <w:b/>
          <w:bCs/>
          <w:kern w:val="2"/>
          <w:sz w:val="32"/>
          <w:szCs w:val="32"/>
        </w:rPr>
        <w:t>②信号测量</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通过</w:t>
      </w:r>
      <w:r>
        <w:rPr>
          <w:rFonts w:ascii="仿宋_GB2312" w:eastAsia="仿宋_GB2312" w:hAnsi="Calibri" w:cs="Times New Roman"/>
          <w:kern w:val="2"/>
          <w:sz w:val="32"/>
          <w:szCs w:val="32"/>
        </w:rPr>
        <w:t>40MHz</w:t>
      </w:r>
      <w:r>
        <w:rPr>
          <w:rFonts w:ascii="仿宋_GB2312" w:eastAsia="仿宋_GB2312" w:hAnsi="Calibri" w:cs="Times New Roman"/>
          <w:kern w:val="2"/>
          <w:sz w:val="32"/>
          <w:szCs w:val="32"/>
        </w:rPr>
        <w:t>带宽的中频信道内，进行信号频谱分析、解调和</w:t>
      </w:r>
      <w:r>
        <w:rPr>
          <w:rFonts w:ascii="仿宋_GB2312" w:eastAsia="仿宋_GB2312" w:hAnsi="Calibri" w:cs="Times New Roman"/>
          <w:kern w:val="2"/>
          <w:sz w:val="32"/>
          <w:szCs w:val="32"/>
        </w:rPr>
        <w:t>ITU</w:t>
      </w:r>
      <w:r>
        <w:rPr>
          <w:rFonts w:ascii="仿宋_GB2312" w:eastAsia="仿宋_GB2312" w:hAnsi="Calibri" w:cs="Times New Roman"/>
          <w:kern w:val="2"/>
          <w:sz w:val="32"/>
          <w:szCs w:val="32"/>
        </w:rPr>
        <w:t>参数测量，提供频谱域的干扰信号特征参数测量，包括信号中心频率、带宽和功率测量功能。可对多种干扰信号调制方式进行识别。</w:t>
      </w:r>
    </w:p>
    <w:p w:rsidR="008B3DD4" w:rsidRDefault="00250D0B">
      <w:pPr>
        <w:pStyle w:val="null3"/>
        <w:ind w:firstLineChars="200" w:firstLine="643"/>
        <w:rPr>
          <w:rFonts w:ascii="仿宋_GB2312" w:eastAsia="仿宋_GB2312" w:hAnsi="Calibri" w:cs="Times New Roman" w:hint="default"/>
          <w:b/>
          <w:bCs/>
          <w:kern w:val="2"/>
          <w:sz w:val="32"/>
          <w:szCs w:val="32"/>
        </w:rPr>
      </w:pPr>
      <w:r>
        <w:rPr>
          <w:rFonts w:ascii="仿宋_GB2312" w:eastAsia="仿宋_GB2312" w:hAnsi="Calibri" w:cs="Times New Roman"/>
          <w:b/>
          <w:bCs/>
          <w:kern w:val="2"/>
          <w:sz w:val="32"/>
          <w:szCs w:val="32"/>
        </w:rPr>
        <w:t>③卫星导航信号监测</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通过对</w:t>
      </w:r>
      <w:r>
        <w:rPr>
          <w:rFonts w:ascii="仿宋_GB2312" w:eastAsia="仿宋_GB2312" w:hAnsi="Calibri" w:cs="Times New Roman"/>
          <w:kern w:val="2"/>
          <w:sz w:val="32"/>
          <w:szCs w:val="32"/>
        </w:rPr>
        <w:t>GNSS</w:t>
      </w:r>
      <w:r>
        <w:rPr>
          <w:rFonts w:ascii="仿宋_GB2312" w:eastAsia="仿宋_GB2312" w:hAnsi="Calibri" w:cs="Times New Roman"/>
          <w:kern w:val="2"/>
          <w:sz w:val="32"/>
          <w:szCs w:val="32"/>
        </w:rPr>
        <w:t>原始观测信息的连续监测，数据采集，提供除频谱观测信息以外更多的观测维度。可通过对卫星导航信号的连续观测，掌握卫星导航服务质量，服务状态变化，辅助干扰源判定。</w:t>
      </w:r>
    </w:p>
    <w:p w:rsidR="008B3DD4" w:rsidRDefault="00250D0B">
      <w:pPr>
        <w:pStyle w:val="null3"/>
        <w:ind w:firstLineChars="200" w:firstLine="643"/>
        <w:rPr>
          <w:rFonts w:ascii="仿宋_GB2312" w:eastAsia="仿宋_GB2312" w:hAnsi="Calibri" w:cs="Times New Roman" w:hint="default"/>
          <w:b/>
          <w:bCs/>
          <w:kern w:val="2"/>
          <w:sz w:val="32"/>
          <w:szCs w:val="32"/>
        </w:rPr>
      </w:pPr>
      <w:r>
        <w:rPr>
          <w:rFonts w:ascii="仿宋_GB2312" w:eastAsia="仿宋_GB2312" w:hAnsi="Calibri" w:cs="Times New Roman"/>
          <w:b/>
          <w:bCs/>
          <w:kern w:val="2"/>
          <w:sz w:val="32"/>
          <w:szCs w:val="32"/>
        </w:rPr>
        <w:t>④连续</w:t>
      </w:r>
      <w:r>
        <w:rPr>
          <w:rFonts w:ascii="仿宋_GB2312" w:eastAsia="仿宋_GB2312" w:hAnsi="Calibri" w:cs="Times New Roman"/>
          <w:b/>
          <w:bCs/>
          <w:kern w:val="2"/>
          <w:sz w:val="32"/>
          <w:szCs w:val="32"/>
        </w:rPr>
        <w:t>IQ</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支持连续</w:t>
      </w:r>
      <w:r>
        <w:rPr>
          <w:rFonts w:ascii="仿宋_GB2312" w:eastAsia="仿宋_GB2312" w:hAnsi="Calibri" w:cs="Times New Roman"/>
          <w:kern w:val="2"/>
          <w:sz w:val="32"/>
          <w:szCs w:val="32"/>
        </w:rPr>
        <w:t>IQ</w:t>
      </w:r>
      <w:r>
        <w:rPr>
          <w:rFonts w:ascii="仿宋_GB2312" w:eastAsia="仿宋_GB2312" w:hAnsi="Calibri" w:cs="Times New Roman"/>
          <w:kern w:val="2"/>
          <w:sz w:val="32"/>
          <w:szCs w:val="32"/>
        </w:rPr>
        <w:t>采集存储以及最大</w:t>
      </w:r>
      <w:r>
        <w:rPr>
          <w:rFonts w:ascii="仿宋_GB2312" w:eastAsia="仿宋_GB2312" w:hAnsi="Calibri" w:cs="Times New Roman"/>
          <w:kern w:val="2"/>
          <w:sz w:val="32"/>
          <w:szCs w:val="32"/>
        </w:rPr>
        <w:t>500kHz</w:t>
      </w:r>
      <w:r>
        <w:rPr>
          <w:rFonts w:ascii="仿宋_GB2312" w:eastAsia="仿宋_GB2312" w:hAnsi="Calibri" w:cs="Times New Roman"/>
          <w:kern w:val="2"/>
          <w:sz w:val="32"/>
          <w:szCs w:val="32"/>
        </w:rPr>
        <w:t>信号带宽的连续</w:t>
      </w:r>
      <w:r>
        <w:rPr>
          <w:rFonts w:ascii="仿宋_GB2312" w:eastAsia="仿宋_GB2312" w:hAnsi="Calibri" w:cs="Times New Roman"/>
          <w:kern w:val="2"/>
          <w:sz w:val="32"/>
          <w:szCs w:val="32"/>
        </w:rPr>
        <w:lastRenderedPageBreak/>
        <w:t>IQ</w:t>
      </w:r>
      <w:r>
        <w:rPr>
          <w:rFonts w:ascii="仿宋_GB2312" w:eastAsia="仿宋_GB2312" w:hAnsi="Calibri" w:cs="Times New Roman"/>
          <w:kern w:val="2"/>
          <w:sz w:val="32"/>
          <w:szCs w:val="32"/>
        </w:rPr>
        <w:t>数据传输能力，可用于信号解调，信号分析和</w:t>
      </w:r>
      <w:r>
        <w:rPr>
          <w:rFonts w:ascii="仿宋_GB2312" w:eastAsia="仿宋_GB2312" w:hAnsi="Calibri" w:cs="Times New Roman"/>
          <w:kern w:val="2"/>
          <w:sz w:val="32"/>
          <w:szCs w:val="32"/>
        </w:rPr>
        <w:t xml:space="preserve"> IQ</w:t>
      </w:r>
      <w:r>
        <w:rPr>
          <w:rFonts w:ascii="仿宋_GB2312" w:eastAsia="仿宋_GB2312" w:hAnsi="Calibri" w:cs="Times New Roman"/>
          <w:kern w:val="2"/>
          <w:sz w:val="32"/>
          <w:szCs w:val="32"/>
        </w:rPr>
        <w:t>流盘与分析功能。</w:t>
      </w:r>
    </w:p>
    <w:p w:rsidR="008B3DD4" w:rsidRDefault="00250D0B">
      <w:pPr>
        <w:pStyle w:val="null3"/>
        <w:ind w:firstLineChars="200" w:firstLine="643"/>
        <w:rPr>
          <w:rFonts w:ascii="仿宋_GB2312" w:eastAsia="仿宋_GB2312" w:hAnsi="Calibri" w:cs="Times New Roman" w:hint="default"/>
          <w:b/>
          <w:bCs/>
          <w:kern w:val="2"/>
          <w:sz w:val="32"/>
          <w:szCs w:val="32"/>
        </w:rPr>
      </w:pPr>
      <w:r>
        <w:rPr>
          <w:rFonts w:ascii="仿宋_GB2312" w:eastAsia="仿宋_GB2312" w:hAnsi="Calibri" w:cs="Times New Roman"/>
          <w:b/>
          <w:bCs/>
          <w:kern w:val="2"/>
          <w:sz w:val="32"/>
          <w:szCs w:val="32"/>
        </w:rPr>
        <w:t>⑤数据存储及传输</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提供无干扰情况下频谱数据、导航监测数据自动循环存储。支持有干扰情况下的频谱数据、</w:t>
      </w:r>
      <w:r>
        <w:rPr>
          <w:rFonts w:ascii="仿宋_GB2312" w:eastAsia="仿宋_GB2312" w:hAnsi="Calibri" w:cs="Times New Roman"/>
          <w:kern w:val="2"/>
          <w:sz w:val="32"/>
          <w:szCs w:val="32"/>
        </w:rPr>
        <w:t>IQ</w:t>
      </w:r>
      <w:r>
        <w:rPr>
          <w:rFonts w:ascii="仿宋_GB2312" w:eastAsia="仿宋_GB2312" w:hAnsi="Calibri" w:cs="Times New Roman"/>
          <w:kern w:val="2"/>
          <w:sz w:val="32"/>
          <w:szCs w:val="32"/>
        </w:rPr>
        <w:t>数据，导航监测数据的自动循环，自动触发以及手动触发等多种方式存储。同时提供生成和数据报表业务。</w:t>
      </w:r>
    </w:p>
    <w:p w:rsidR="008B3DD4" w:rsidRDefault="00250D0B">
      <w:pPr>
        <w:pStyle w:val="null3"/>
        <w:ind w:firstLineChars="200" w:firstLine="643"/>
        <w:rPr>
          <w:rFonts w:ascii="仿宋_GB2312" w:eastAsia="仿宋_GB2312" w:hAnsi="Calibri" w:cs="Times New Roman" w:hint="default"/>
          <w:b/>
          <w:bCs/>
          <w:kern w:val="2"/>
          <w:sz w:val="32"/>
          <w:szCs w:val="32"/>
        </w:rPr>
      </w:pPr>
      <w:r>
        <w:rPr>
          <w:rFonts w:ascii="仿宋_GB2312" w:eastAsia="仿宋_GB2312" w:hAnsi="Calibri" w:cs="Times New Roman"/>
          <w:b/>
          <w:bCs/>
          <w:kern w:val="2"/>
          <w:sz w:val="32"/>
          <w:szCs w:val="32"/>
        </w:rPr>
        <w:t>⑥数据回放</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针对特定干扰信号查找任务，还支持采集信号回放，回放数据包括导航监测数据，</w:t>
      </w:r>
      <w:r>
        <w:rPr>
          <w:rFonts w:ascii="仿宋_GB2312" w:eastAsia="仿宋_GB2312" w:hAnsi="Calibri" w:cs="Times New Roman"/>
          <w:kern w:val="2"/>
          <w:sz w:val="32"/>
          <w:szCs w:val="32"/>
        </w:rPr>
        <w:t>OC</w:t>
      </w:r>
      <w:r>
        <w:rPr>
          <w:rFonts w:ascii="仿宋_GB2312" w:eastAsia="仿宋_GB2312" w:hAnsi="Calibri" w:cs="Times New Roman"/>
          <w:kern w:val="2"/>
          <w:sz w:val="32"/>
          <w:szCs w:val="32"/>
        </w:rPr>
        <w:t>文件，</w:t>
      </w:r>
      <w:r>
        <w:rPr>
          <w:rFonts w:ascii="仿宋_GB2312" w:eastAsia="仿宋_GB2312" w:hAnsi="Calibri" w:cs="Times New Roman"/>
          <w:kern w:val="2"/>
          <w:sz w:val="32"/>
          <w:szCs w:val="32"/>
        </w:rPr>
        <w:t>IQ</w:t>
      </w:r>
      <w:r>
        <w:rPr>
          <w:rFonts w:ascii="仿宋_GB2312" w:eastAsia="仿宋_GB2312" w:hAnsi="Calibri" w:cs="Times New Roman"/>
          <w:kern w:val="2"/>
          <w:sz w:val="32"/>
          <w:szCs w:val="32"/>
        </w:rPr>
        <w:t>数据，干扰告警数据。基于客户端软件还支撑对回放进度控制，暂停开启，拖拽进度等功能。可实现对干扰过程的全程回溯。</w:t>
      </w:r>
    </w:p>
    <w:p w:rsidR="008B3DD4" w:rsidRDefault="00250D0B">
      <w:pPr>
        <w:pStyle w:val="null3"/>
        <w:ind w:firstLineChars="200" w:firstLine="643"/>
        <w:rPr>
          <w:rFonts w:ascii="仿宋_GB2312" w:eastAsia="仿宋_GB2312" w:hAnsi="Calibri" w:cs="Times New Roman" w:hint="default"/>
          <w:b/>
          <w:bCs/>
          <w:kern w:val="2"/>
          <w:sz w:val="32"/>
          <w:szCs w:val="32"/>
        </w:rPr>
      </w:pPr>
      <w:r>
        <w:rPr>
          <w:rFonts w:ascii="仿宋_GB2312" w:eastAsia="仿宋_GB2312" w:hAnsi="Calibri" w:cs="Times New Roman"/>
          <w:b/>
          <w:bCs/>
          <w:kern w:val="2"/>
          <w:sz w:val="32"/>
          <w:szCs w:val="32"/>
        </w:rPr>
        <w:t>（</w:t>
      </w:r>
      <w:r>
        <w:rPr>
          <w:rFonts w:ascii="仿宋_GB2312" w:eastAsia="仿宋_GB2312" w:hAnsi="Calibri" w:cs="Times New Roman"/>
          <w:b/>
          <w:bCs/>
          <w:kern w:val="2"/>
          <w:sz w:val="32"/>
          <w:szCs w:val="32"/>
        </w:rPr>
        <w:t>2</w:t>
      </w:r>
      <w:r>
        <w:rPr>
          <w:rFonts w:ascii="仿宋_GB2312" w:eastAsia="仿宋_GB2312" w:hAnsi="Calibri" w:cs="Times New Roman"/>
          <w:b/>
          <w:bCs/>
          <w:kern w:val="2"/>
          <w:sz w:val="32"/>
          <w:szCs w:val="32"/>
        </w:rPr>
        <w:t>）干扰查找功能</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①系统需支持对压制干扰（含微弱压制干扰）、诱导干扰等各类干扰源的识别及告警功能；系统应可对监测到的压制干扰源或诱导干扰源，实现干扰源测向功能。</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②系统应可结合电子地图信息，在监测过程中，实时分析</w:t>
      </w:r>
      <w:r>
        <w:rPr>
          <w:rFonts w:ascii="仿宋_GB2312" w:eastAsia="仿宋_GB2312" w:hAnsi="Calibri" w:cs="Times New Roman"/>
          <w:kern w:val="2"/>
          <w:sz w:val="32"/>
          <w:szCs w:val="32"/>
        </w:rPr>
        <w:t>GNSS</w:t>
      </w:r>
      <w:r>
        <w:rPr>
          <w:rFonts w:ascii="仿宋_GB2312" w:eastAsia="仿宋_GB2312" w:hAnsi="Calibri" w:cs="Times New Roman"/>
          <w:kern w:val="2"/>
          <w:sz w:val="32"/>
          <w:szCs w:val="32"/>
        </w:rPr>
        <w:t>信号质量，并在电子地图上实时显示、标注</w:t>
      </w:r>
      <w:r>
        <w:rPr>
          <w:rFonts w:ascii="仿宋_GB2312" w:eastAsia="仿宋_GB2312" w:hAnsi="Calibri" w:cs="Times New Roman"/>
          <w:kern w:val="2"/>
          <w:sz w:val="32"/>
          <w:szCs w:val="32"/>
        </w:rPr>
        <w:t>GNSS</w:t>
      </w:r>
      <w:r>
        <w:rPr>
          <w:rFonts w:ascii="仿宋_GB2312" w:eastAsia="仿宋_GB2312" w:hAnsi="Calibri" w:cs="Times New Roman"/>
          <w:kern w:val="2"/>
          <w:sz w:val="32"/>
          <w:szCs w:val="32"/>
        </w:rPr>
        <w:t>信号质量。</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③系统须支持频谱信息与</w:t>
      </w:r>
      <w:r>
        <w:rPr>
          <w:rFonts w:ascii="仿宋_GB2312" w:eastAsia="仿宋_GB2312" w:hAnsi="Calibri" w:cs="Times New Roman"/>
          <w:kern w:val="2"/>
          <w:sz w:val="32"/>
          <w:szCs w:val="32"/>
        </w:rPr>
        <w:t>GNSS</w:t>
      </w:r>
      <w:r>
        <w:rPr>
          <w:rFonts w:ascii="仿宋_GB2312" w:eastAsia="仿宋_GB2312" w:hAnsi="Calibri" w:cs="Times New Roman"/>
          <w:kern w:val="2"/>
          <w:sz w:val="32"/>
          <w:szCs w:val="32"/>
        </w:rPr>
        <w:t>观测信息相结合的同框展示，便于干扰源查找。</w:t>
      </w:r>
    </w:p>
    <w:p w:rsidR="008B3DD4" w:rsidRDefault="00250D0B">
      <w:pPr>
        <w:pStyle w:val="2"/>
        <w:keepNext w:val="0"/>
        <w:keepLines w:val="0"/>
        <w:wordWrap w:val="0"/>
        <w:spacing w:before="0" w:after="0" w:line="360" w:lineRule="auto"/>
        <w:ind w:left="0" w:firstLine="0"/>
        <w:rPr>
          <w:rFonts w:ascii="楷体_GB2312" w:eastAsia="楷体_GB2312" w:hAnsi="楷体_GB2312" w:cs="楷体_GB2312"/>
          <w:sz w:val="32"/>
          <w:szCs w:val="40"/>
        </w:rPr>
      </w:pPr>
      <w:r>
        <w:rPr>
          <w:rFonts w:ascii="楷体_GB2312" w:eastAsia="楷体_GB2312" w:hAnsi="楷体_GB2312" w:cs="楷体_GB2312" w:hint="eastAsia"/>
          <w:sz w:val="32"/>
          <w:szCs w:val="40"/>
        </w:rPr>
        <w:t>2.</w:t>
      </w:r>
      <w:r>
        <w:rPr>
          <w:rFonts w:ascii="楷体_GB2312" w:eastAsia="楷体_GB2312" w:hAnsi="楷体_GB2312" w:cs="楷体_GB2312" w:hint="eastAsia"/>
          <w:sz w:val="32"/>
          <w:szCs w:val="40"/>
        </w:rPr>
        <w:t>卫星导航干扰监测保障系统扩展功能要求</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lastRenderedPageBreak/>
        <w:t>（</w:t>
      </w:r>
      <w:r>
        <w:rPr>
          <w:rFonts w:ascii="仿宋_GB2312" w:eastAsia="仿宋_GB2312" w:hAnsi="Calibri" w:cs="Times New Roman"/>
          <w:kern w:val="2"/>
          <w:sz w:val="32"/>
          <w:szCs w:val="32"/>
        </w:rPr>
        <w:t>1</w:t>
      </w:r>
      <w:r>
        <w:rPr>
          <w:rFonts w:ascii="仿宋_GB2312" w:eastAsia="仿宋_GB2312" w:hAnsi="Calibri" w:cs="Times New Roman"/>
          <w:kern w:val="2"/>
          <w:sz w:val="32"/>
          <w:szCs w:val="32"/>
        </w:rPr>
        <w:t>）设备应具备接入福建省无线电一体化平台能力。</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2</w:t>
      </w:r>
      <w:r>
        <w:rPr>
          <w:rFonts w:ascii="仿宋_GB2312" w:eastAsia="仿宋_GB2312" w:hAnsi="Calibri" w:cs="Times New Roman"/>
          <w:kern w:val="2"/>
          <w:sz w:val="32"/>
          <w:szCs w:val="32"/>
        </w:rPr>
        <w:t>）系统需具备干扰自动触发测向功能，监测到干扰后可自动启动测向并以示向线指向干扰源，同时可支持声音或画面告警。</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3</w:t>
      </w:r>
      <w:r>
        <w:rPr>
          <w:rFonts w:ascii="仿宋_GB2312" w:eastAsia="仿宋_GB2312" w:hAnsi="Calibri" w:cs="Times New Roman"/>
          <w:kern w:val="2"/>
          <w:sz w:val="32"/>
          <w:szCs w:val="32"/>
        </w:rPr>
        <w:t>）系统需具备设备自检与故障诊断功能，可查看设备自身运行状态并进行故障诊断。</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4)</w:t>
      </w:r>
      <w:r>
        <w:rPr>
          <w:rFonts w:ascii="仿宋_GB2312" w:eastAsia="仿宋_GB2312" w:hAnsi="Calibri" w:cs="Times New Roman"/>
          <w:kern w:val="2"/>
          <w:sz w:val="32"/>
          <w:szCs w:val="32"/>
        </w:rPr>
        <w:t>系统需支持</w:t>
      </w:r>
      <w:r>
        <w:rPr>
          <w:rFonts w:ascii="仿宋_GB2312" w:eastAsia="仿宋_GB2312" w:hAnsi="Calibri" w:cs="Times New Roman"/>
          <w:kern w:val="2"/>
          <w:sz w:val="32"/>
          <w:szCs w:val="32"/>
        </w:rPr>
        <w:t>ADS-B</w:t>
      </w:r>
      <w:r>
        <w:rPr>
          <w:rFonts w:ascii="仿宋_GB2312" w:eastAsia="仿宋_GB2312" w:hAnsi="Calibri" w:cs="Times New Roman"/>
          <w:kern w:val="2"/>
          <w:sz w:val="32"/>
          <w:szCs w:val="32"/>
        </w:rPr>
        <w:t>等信号监测功能，并预留对应硬件接口通道。</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5</w:t>
      </w:r>
      <w:r>
        <w:rPr>
          <w:rFonts w:ascii="仿宋_GB2312" w:eastAsia="仿宋_GB2312" w:hAnsi="Calibri" w:cs="Times New Roman"/>
          <w:kern w:val="2"/>
          <w:sz w:val="32"/>
          <w:szCs w:val="32"/>
        </w:rPr>
        <w:t>）系统需具备对干扰信号的监测与测量功能，可识别干扰信号中心频率、带宽、干扰功率等信息。</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6</w:t>
      </w:r>
      <w:r>
        <w:rPr>
          <w:rFonts w:ascii="仿宋_GB2312" w:eastAsia="仿宋_GB2312" w:hAnsi="Calibri" w:cs="Times New Roman"/>
          <w:kern w:val="2"/>
          <w:sz w:val="32"/>
          <w:szCs w:val="32"/>
        </w:rPr>
        <w:t>）系统需支</w:t>
      </w:r>
      <w:r>
        <w:rPr>
          <w:rFonts w:ascii="仿宋_GB2312" w:eastAsia="仿宋_GB2312" w:hAnsi="Calibri" w:cs="Times New Roman"/>
          <w:kern w:val="2"/>
          <w:sz w:val="32"/>
          <w:szCs w:val="32"/>
        </w:rPr>
        <w:t>持对目标区域电子地图面积测量以及测距功能。</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7</w:t>
      </w:r>
      <w:r>
        <w:rPr>
          <w:rFonts w:ascii="仿宋_GB2312" w:eastAsia="仿宋_GB2312" w:hAnsi="Calibri" w:cs="Times New Roman"/>
          <w:kern w:val="2"/>
          <w:sz w:val="32"/>
          <w:szCs w:val="32"/>
        </w:rPr>
        <w:t>）系统需支持单套设备历史数据地图打点交汇定位功能。</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8</w:t>
      </w:r>
      <w:r>
        <w:rPr>
          <w:rFonts w:ascii="仿宋_GB2312" w:eastAsia="仿宋_GB2312" w:hAnsi="Calibri" w:cs="Times New Roman"/>
          <w:kern w:val="2"/>
          <w:sz w:val="32"/>
          <w:szCs w:val="32"/>
        </w:rPr>
        <w:t>）“一体化监测测向天线”，其防护性能依据</w:t>
      </w:r>
      <w:r>
        <w:rPr>
          <w:rFonts w:ascii="仿宋_GB2312" w:eastAsia="仿宋_GB2312" w:hAnsi="Calibri" w:cs="Times New Roman"/>
          <w:kern w:val="2"/>
          <w:sz w:val="32"/>
          <w:szCs w:val="32"/>
        </w:rPr>
        <w:t>GB/T4208-2017</w:t>
      </w:r>
      <w:r>
        <w:rPr>
          <w:rFonts w:ascii="仿宋_GB2312" w:eastAsia="仿宋_GB2312" w:hAnsi="Calibri" w:cs="Times New Roman"/>
          <w:kern w:val="2"/>
          <w:sz w:val="32"/>
          <w:szCs w:val="32"/>
        </w:rPr>
        <w:t>试验应能够满足</w:t>
      </w:r>
      <w:r>
        <w:rPr>
          <w:rFonts w:ascii="仿宋_GB2312" w:eastAsia="仿宋_GB2312" w:hAnsi="Calibri" w:cs="Times New Roman"/>
          <w:kern w:val="2"/>
          <w:sz w:val="32"/>
          <w:szCs w:val="32"/>
        </w:rPr>
        <w:t>IP65</w:t>
      </w:r>
      <w:r>
        <w:rPr>
          <w:rFonts w:ascii="仿宋_GB2312" w:eastAsia="仿宋_GB2312" w:hAnsi="Calibri" w:cs="Times New Roman"/>
          <w:kern w:val="2"/>
          <w:sz w:val="32"/>
          <w:szCs w:val="32"/>
        </w:rPr>
        <w:t>防护等级（或以上）。</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9</w:t>
      </w:r>
      <w:r>
        <w:rPr>
          <w:rFonts w:ascii="仿宋_GB2312" w:eastAsia="仿宋_GB2312" w:hAnsi="Calibri" w:cs="Times New Roman"/>
          <w:kern w:val="2"/>
          <w:sz w:val="32"/>
          <w:szCs w:val="32"/>
        </w:rPr>
        <w:t>）支持安装方式：固定、车载、可搬移三种。</w:t>
      </w:r>
    </w:p>
    <w:p w:rsidR="008B3DD4" w:rsidRDefault="00250D0B">
      <w:pPr>
        <w:pStyle w:val="2"/>
        <w:keepNext w:val="0"/>
        <w:keepLines w:val="0"/>
        <w:wordWrap w:val="0"/>
        <w:spacing w:before="0" w:after="0" w:line="360" w:lineRule="auto"/>
        <w:ind w:left="0" w:firstLine="0"/>
        <w:rPr>
          <w:rFonts w:ascii="楷体_GB2312" w:eastAsia="楷体_GB2312" w:hAnsi="楷体_GB2312" w:cs="楷体_GB2312"/>
          <w:sz w:val="32"/>
          <w:szCs w:val="40"/>
        </w:rPr>
      </w:pPr>
      <w:r>
        <w:rPr>
          <w:rFonts w:ascii="楷体_GB2312" w:eastAsia="楷体_GB2312" w:hAnsi="楷体_GB2312" w:cs="楷体_GB2312" w:hint="eastAsia"/>
          <w:sz w:val="32"/>
          <w:szCs w:val="40"/>
        </w:rPr>
        <w:t>3.</w:t>
      </w:r>
      <w:r>
        <w:rPr>
          <w:rFonts w:ascii="楷体_GB2312" w:eastAsia="楷体_GB2312" w:hAnsi="楷体_GB2312" w:cs="楷体_GB2312" w:hint="eastAsia"/>
          <w:sz w:val="32"/>
          <w:szCs w:val="40"/>
        </w:rPr>
        <w:t>卫星导航干扰监测保障系统技术指标要求</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1</w:t>
      </w:r>
      <w:r>
        <w:rPr>
          <w:rFonts w:ascii="仿宋_GB2312" w:eastAsia="仿宋_GB2312" w:hAnsi="Calibri" w:cs="Times New Roman"/>
          <w:kern w:val="2"/>
          <w:sz w:val="32"/>
          <w:szCs w:val="32"/>
        </w:rPr>
        <w:t>）卫星导航系统重点监测频段接收要求</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以下为设备射频输入通道必须完整覆盖的频率范围，设备需具备下述频段的频谱接收能力：</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①</w:t>
      </w:r>
      <w:r>
        <w:rPr>
          <w:rFonts w:ascii="仿宋_GB2312" w:eastAsia="仿宋_GB2312" w:hAnsi="Calibri" w:cs="Times New Roman"/>
          <w:kern w:val="2"/>
          <w:sz w:val="32"/>
          <w:szCs w:val="32"/>
        </w:rPr>
        <w:t>BDS3-B2A</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GPS-L5</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Galileo-E5A:1164MHz-1215MHz</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lastRenderedPageBreak/>
        <w:t>②</w:t>
      </w:r>
      <w:r>
        <w:rPr>
          <w:rFonts w:ascii="仿宋_GB2312" w:eastAsia="仿宋_GB2312" w:hAnsi="Calibri" w:cs="Times New Roman"/>
          <w:kern w:val="2"/>
          <w:sz w:val="32"/>
          <w:szCs w:val="32"/>
        </w:rPr>
        <w:t>Galileo-E5:1190MHz-1193MHz</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③</w:t>
      </w:r>
      <w:r>
        <w:rPr>
          <w:rFonts w:ascii="仿宋_GB2312" w:eastAsia="仿宋_GB2312" w:hAnsi="Calibri" w:cs="Times New Roman"/>
          <w:kern w:val="2"/>
          <w:sz w:val="32"/>
          <w:szCs w:val="32"/>
        </w:rPr>
        <w:t>BDS2-B2</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Galileo-E5B</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GLONASS-L3:1166MHz-1217MHz</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④</w:t>
      </w:r>
      <w:r>
        <w:rPr>
          <w:rFonts w:ascii="仿宋_GB2312" w:eastAsia="仿宋_GB2312" w:hAnsi="Calibri" w:cs="Times New Roman"/>
          <w:kern w:val="2"/>
          <w:sz w:val="32"/>
          <w:szCs w:val="32"/>
        </w:rPr>
        <w:t>GPS-L2C:1226MHz-1229MHz</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⑤</w:t>
      </w:r>
      <w:r>
        <w:rPr>
          <w:rFonts w:ascii="仿宋_GB2312" w:eastAsia="仿宋_GB2312" w:hAnsi="Calibri" w:cs="Times New Roman"/>
          <w:kern w:val="2"/>
          <w:sz w:val="32"/>
          <w:szCs w:val="32"/>
        </w:rPr>
        <w:t>GLONASS-L2:1246MHz-1256.5MHz</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⑥</w:t>
      </w:r>
      <w:r>
        <w:rPr>
          <w:rFonts w:ascii="仿宋_GB2312" w:eastAsia="仿宋_GB2312" w:hAnsi="Calibri" w:cs="Times New Roman"/>
          <w:kern w:val="2"/>
          <w:sz w:val="32"/>
          <w:szCs w:val="32"/>
        </w:rPr>
        <w:t>BDS2-B3</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BDS3-B3I</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Galileo-E6:1258MHz-1287MHz</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⑦</w:t>
      </w:r>
      <w:r>
        <w:rPr>
          <w:rFonts w:ascii="仿宋_GB2312" w:eastAsia="仿宋_GB2312" w:hAnsi="Calibri" w:cs="Times New Roman"/>
          <w:kern w:val="2"/>
          <w:sz w:val="32"/>
          <w:szCs w:val="32"/>
        </w:rPr>
        <w:t>BDS2-B1</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BDS3-B1I:1559MHz-1591MHz</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⑧</w:t>
      </w:r>
      <w:r>
        <w:rPr>
          <w:rFonts w:ascii="仿宋_GB2312" w:eastAsia="仿宋_GB2312" w:hAnsi="Calibri" w:cs="Times New Roman"/>
          <w:kern w:val="2"/>
          <w:sz w:val="32"/>
          <w:szCs w:val="32"/>
        </w:rPr>
        <w:t>BDS3-B1C</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GPS-L1C</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GPS-L1A</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Galileo-E1B</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Galileo-E1C:1574MHz-1577MHz</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⑨</w:t>
      </w:r>
      <w:r>
        <w:rPr>
          <w:rFonts w:ascii="仿宋_GB2312" w:eastAsia="仿宋_GB2312" w:hAnsi="Calibri" w:cs="Times New Roman"/>
          <w:kern w:val="2"/>
          <w:sz w:val="32"/>
          <w:szCs w:val="32"/>
        </w:rPr>
        <w:t>Galileo-El:1559MHz-1592MHz</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⑩</w:t>
      </w:r>
      <w:r>
        <w:rPr>
          <w:rFonts w:ascii="仿宋_GB2312" w:eastAsia="仿宋_GB2312" w:hAnsi="Calibri" w:cs="Times New Roman"/>
          <w:kern w:val="2"/>
          <w:sz w:val="32"/>
          <w:szCs w:val="32"/>
        </w:rPr>
        <w:t>GLONASS-L1:1602MHz-1615.5MHz</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2</w:t>
      </w:r>
      <w:r>
        <w:rPr>
          <w:rFonts w:ascii="仿宋_GB2312" w:eastAsia="仿宋_GB2312" w:hAnsi="Calibri" w:cs="Times New Roman"/>
          <w:kern w:val="2"/>
          <w:sz w:val="32"/>
          <w:szCs w:val="32"/>
        </w:rPr>
        <w:t>）信号解算要求</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设备需在满足上述频段硬件接收要求的基础上，具备基带算法解算能力。具体要求：设备需支持单</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双频</w:t>
      </w:r>
      <w:r>
        <w:rPr>
          <w:rFonts w:ascii="仿宋_GB2312" w:eastAsia="仿宋_GB2312" w:hAnsi="Calibri" w:cs="Times New Roman"/>
          <w:kern w:val="2"/>
          <w:sz w:val="32"/>
          <w:szCs w:val="32"/>
        </w:rPr>
        <w:t>PVT</w:t>
      </w:r>
      <w:r>
        <w:rPr>
          <w:rFonts w:ascii="仿宋_GB2312" w:eastAsia="仿宋_GB2312" w:hAnsi="Calibri" w:cs="Times New Roman"/>
          <w:kern w:val="2"/>
          <w:sz w:val="32"/>
          <w:szCs w:val="32"/>
        </w:rPr>
        <w:t>（位置、速度、时间）解算，应可完成下述频点信号定位解算：</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GPS</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L1C/A</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L2C</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L5</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BDS</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B1C/B2a</w:t>
      </w:r>
      <w:r>
        <w:rPr>
          <w:rFonts w:ascii="仿宋_GB2312" w:eastAsia="仿宋_GB2312" w:hAnsi="Calibri" w:cs="Times New Roman"/>
          <w:kern w:val="2"/>
          <w:sz w:val="32"/>
          <w:szCs w:val="32"/>
        </w:rPr>
        <w:t>（双频组合）、</w:t>
      </w:r>
      <w:r>
        <w:rPr>
          <w:rFonts w:ascii="仿宋_GB2312" w:eastAsia="仿宋_GB2312" w:hAnsi="Calibri" w:cs="Times New Roman"/>
          <w:kern w:val="2"/>
          <w:sz w:val="32"/>
          <w:szCs w:val="32"/>
        </w:rPr>
        <w:t>B1C</w:t>
      </w:r>
      <w:r>
        <w:rPr>
          <w:rFonts w:ascii="仿宋_GB2312" w:eastAsia="仿宋_GB2312" w:hAnsi="Calibri" w:cs="Times New Roman"/>
          <w:kern w:val="2"/>
          <w:sz w:val="32"/>
          <w:szCs w:val="32"/>
        </w:rPr>
        <w:t>（单频）、</w:t>
      </w:r>
      <w:r>
        <w:rPr>
          <w:rFonts w:ascii="仿宋_GB2312" w:eastAsia="仿宋_GB2312" w:hAnsi="Calibri" w:cs="Times New Roman"/>
          <w:kern w:val="2"/>
          <w:sz w:val="32"/>
          <w:szCs w:val="32"/>
        </w:rPr>
        <w:t>B</w:t>
      </w:r>
      <w:r>
        <w:rPr>
          <w:rFonts w:ascii="仿宋_GB2312" w:eastAsia="仿宋_GB2312" w:hAnsi="Calibri" w:cs="Times New Roman"/>
          <w:kern w:val="2"/>
          <w:sz w:val="32"/>
          <w:szCs w:val="32"/>
        </w:rPr>
        <w:t>3I</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B1I/B3I</w:t>
      </w:r>
      <w:r>
        <w:rPr>
          <w:rFonts w:ascii="仿宋_GB2312" w:eastAsia="仿宋_GB2312" w:hAnsi="Calibri" w:cs="Times New Roman"/>
          <w:kern w:val="2"/>
          <w:sz w:val="32"/>
          <w:szCs w:val="32"/>
        </w:rPr>
        <w:t>（双频组合）、</w:t>
      </w:r>
      <w:r>
        <w:rPr>
          <w:rFonts w:ascii="仿宋_GB2312" w:eastAsia="仿宋_GB2312" w:hAnsi="Calibri" w:cs="Times New Roman"/>
          <w:kern w:val="2"/>
          <w:sz w:val="32"/>
          <w:szCs w:val="32"/>
        </w:rPr>
        <w:t>B2I</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GALILEO</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E1</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E5a</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E5b</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GLONASS</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G1</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G2</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3</w:t>
      </w:r>
      <w:r>
        <w:rPr>
          <w:rFonts w:ascii="仿宋_GB2312" w:eastAsia="仿宋_GB2312" w:hAnsi="Calibri" w:cs="Times New Roman"/>
          <w:kern w:val="2"/>
          <w:sz w:val="32"/>
          <w:szCs w:val="32"/>
        </w:rPr>
        <w:t>）中频带宽（中频实时处理带宽）：最大应可支持到</w:t>
      </w:r>
      <w:r>
        <w:rPr>
          <w:rFonts w:ascii="仿宋_GB2312" w:eastAsia="仿宋_GB2312" w:hAnsi="Calibri" w:cs="Times New Roman"/>
          <w:kern w:val="2"/>
          <w:sz w:val="32"/>
          <w:szCs w:val="32"/>
        </w:rPr>
        <w:t>80MHz</w:t>
      </w:r>
      <w:r>
        <w:rPr>
          <w:rFonts w:ascii="仿宋_GB2312" w:eastAsia="仿宋_GB2312" w:hAnsi="Calibri" w:cs="Times New Roman"/>
          <w:kern w:val="2"/>
          <w:sz w:val="32"/>
          <w:szCs w:val="32"/>
        </w:rPr>
        <w:t>。</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lastRenderedPageBreak/>
        <w:t>（</w:t>
      </w:r>
      <w:r>
        <w:rPr>
          <w:rFonts w:ascii="仿宋_GB2312" w:eastAsia="仿宋_GB2312" w:hAnsi="Calibri" w:cs="Times New Roman"/>
          <w:kern w:val="2"/>
          <w:sz w:val="32"/>
          <w:szCs w:val="32"/>
        </w:rPr>
        <w:t>4</w:t>
      </w:r>
      <w:r>
        <w:rPr>
          <w:rFonts w:ascii="仿宋_GB2312" w:eastAsia="仿宋_GB2312" w:hAnsi="Calibri" w:cs="Times New Roman"/>
          <w:kern w:val="2"/>
          <w:sz w:val="32"/>
          <w:szCs w:val="32"/>
        </w:rPr>
        <w:t>）常规监测测向频段：至少应覆盖</w:t>
      </w:r>
      <w:r>
        <w:rPr>
          <w:rFonts w:ascii="仿宋_GB2312" w:eastAsia="仿宋_GB2312" w:hAnsi="Calibri" w:cs="Times New Roman"/>
          <w:kern w:val="2"/>
          <w:sz w:val="32"/>
          <w:szCs w:val="32"/>
        </w:rPr>
        <w:t>1000-3000MHz</w:t>
      </w:r>
      <w:r>
        <w:rPr>
          <w:rFonts w:ascii="仿宋_GB2312" w:eastAsia="仿宋_GB2312" w:hAnsi="Calibri" w:cs="Times New Roman"/>
          <w:kern w:val="2"/>
          <w:sz w:val="32"/>
          <w:szCs w:val="32"/>
        </w:rPr>
        <w:t>。</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5</w:t>
      </w:r>
      <w:r>
        <w:rPr>
          <w:rFonts w:ascii="仿宋_GB2312" w:eastAsia="仿宋_GB2312" w:hAnsi="Calibri" w:cs="Times New Roman"/>
          <w:kern w:val="2"/>
          <w:sz w:val="32"/>
          <w:szCs w:val="32"/>
        </w:rPr>
        <w:t>）监测灵敏度（含压制、诱导干扰）：≤</w:t>
      </w:r>
      <w:r>
        <w:rPr>
          <w:rFonts w:ascii="仿宋_GB2312" w:eastAsia="仿宋_GB2312" w:hAnsi="Calibri" w:cs="Times New Roman"/>
          <w:kern w:val="2"/>
          <w:sz w:val="32"/>
          <w:szCs w:val="32"/>
        </w:rPr>
        <w:t>-110dBm</w:t>
      </w:r>
      <w:r>
        <w:rPr>
          <w:rFonts w:ascii="仿宋_GB2312" w:eastAsia="仿宋_GB2312" w:hAnsi="Calibri" w:cs="Times New Roman"/>
          <w:kern w:val="2"/>
          <w:sz w:val="32"/>
          <w:szCs w:val="32"/>
        </w:rPr>
        <w:t>。</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6</w:t>
      </w:r>
      <w:r>
        <w:rPr>
          <w:rFonts w:ascii="仿宋_GB2312" w:eastAsia="仿宋_GB2312" w:hAnsi="Calibri" w:cs="Times New Roman"/>
          <w:kern w:val="2"/>
          <w:sz w:val="32"/>
          <w:szCs w:val="32"/>
        </w:rPr>
        <w:t>）测向精度（含压制、诱导干扰）：≤</w:t>
      </w:r>
      <w:r>
        <w:rPr>
          <w:rFonts w:ascii="仿宋_GB2312" w:eastAsia="仿宋_GB2312" w:hAnsi="Calibri" w:cs="Times New Roman"/>
          <w:kern w:val="2"/>
          <w:sz w:val="32"/>
          <w:szCs w:val="32"/>
        </w:rPr>
        <w:t>5</w:t>
      </w:r>
      <w:r>
        <w:rPr>
          <w:rFonts w:ascii="仿宋_GB2312" w:eastAsia="仿宋_GB2312" w:hAnsi="Calibri" w:cs="Times New Roman"/>
          <w:kern w:val="2"/>
          <w:sz w:val="32"/>
          <w:szCs w:val="32"/>
        </w:rPr>
        <w:t>°。</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7</w:t>
      </w:r>
      <w:r>
        <w:rPr>
          <w:rFonts w:ascii="仿宋_GB2312" w:eastAsia="仿宋_GB2312" w:hAnsi="Calibri" w:cs="Times New Roman"/>
          <w:kern w:val="2"/>
          <w:sz w:val="32"/>
          <w:szCs w:val="32"/>
        </w:rPr>
        <w:t>）测向灵敏度（压制、诱导干扰）：≤</w:t>
      </w:r>
      <w:r>
        <w:rPr>
          <w:rFonts w:ascii="仿宋_GB2312" w:eastAsia="仿宋_GB2312" w:hAnsi="Calibri" w:cs="Times New Roman"/>
          <w:kern w:val="2"/>
          <w:sz w:val="32"/>
          <w:szCs w:val="32"/>
        </w:rPr>
        <w:t>-110dBm</w:t>
      </w:r>
      <w:r>
        <w:rPr>
          <w:rFonts w:ascii="仿宋_GB2312" w:eastAsia="仿宋_GB2312" w:hAnsi="Calibri" w:cs="Times New Roman"/>
          <w:kern w:val="2"/>
          <w:sz w:val="32"/>
          <w:szCs w:val="32"/>
        </w:rPr>
        <w:t>。</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8</w:t>
      </w:r>
      <w:r>
        <w:rPr>
          <w:rFonts w:ascii="仿宋_GB2312" w:eastAsia="仿宋_GB2312" w:hAnsi="Calibri" w:cs="Times New Roman"/>
          <w:kern w:val="2"/>
          <w:sz w:val="32"/>
          <w:szCs w:val="32"/>
        </w:rPr>
        <w:t>）频率准确度：≤±</w:t>
      </w:r>
      <w:r>
        <w:rPr>
          <w:rFonts w:ascii="仿宋_GB2312" w:eastAsia="仿宋_GB2312" w:hAnsi="Calibri" w:cs="Times New Roman"/>
          <w:kern w:val="2"/>
          <w:sz w:val="32"/>
          <w:szCs w:val="32"/>
        </w:rPr>
        <w:t>1.5ppm</w:t>
      </w:r>
      <w:r>
        <w:rPr>
          <w:rFonts w:ascii="仿宋_GB2312" w:eastAsia="仿宋_GB2312" w:hAnsi="Calibri" w:cs="Times New Roman"/>
          <w:kern w:val="2"/>
          <w:sz w:val="32"/>
          <w:szCs w:val="32"/>
        </w:rPr>
        <w:t>。</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9</w:t>
      </w:r>
      <w:r>
        <w:rPr>
          <w:rFonts w:ascii="仿宋_GB2312" w:eastAsia="仿宋_GB2312" w:hAnsi="Calibri" w:cs="Times New Roman"/>
          <w:kern w:val="2"/>
          <w:sz w:val="32"/>
          <w:szCs w:val="32"/>
        </w:rPr>
        <w:t>）镜频干扰抑制比：＞</w:t>
      </w:r>
      <w:r>
        <w:rPr>
          <w:rFonts w:ascii="仿宋_GB2312" w:eastAsia="仿宋_GB2312" w:hAnsi="Calibri" w:cs="Times New Roman"/>
          <w:kern w:val="2"/>
          <w:sz w:val="32"/>
          <w:szCs w:val="32"/>
        </w:rPr>
        <w:t>80dB</w:t>
      </w:r>
      <w:r>
        <w:rPr>
          <w:rFonts w:ascii="仿宋_GB2312" w:eastAsia="仿宋_GB2312" w:hAnsi="Calibri" w:cs="Times New Roman"/>
          <w:kern w:val="2"/>
          <w:sz w:val="32"/>
          <w:szCs w:val="32"/>
        </w:rPr>
        <w:t>。</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10</w:t>
      </w:r>
      <w:r>
        <w:rPr>
          <w:rFonts w:ascii="仿宋_GB2312" w:eastAsia="仿宋_GB2312" w:hAnsi="Calibri" w:cs="Times New Roman"/>
          <w:kern w:val="2"/>
          <w:sz w:val="32"/>
          <w:szCs w:val="32"/>
        </w:rPr>
        <w:t>）扫描速度：</w:t>
      </w:r>
      <w:r>
        <w:rPr>
          <w:rFonts w:ascii="仿宋_GB2312" w:eastAsia="仿宋_GB2312" w:hAnsi="Calibri" w:cs="Times New Roman"/>
          <w:kern w:val="2"/>
          <w:sz w:val="32"/>
          <w:szCs w:val="32"/>
        </w:rPr>
        <w:t>&gt;1GHz/s (25kH</w:t>
      </w:r>
      <w:r>
        <w:rPr>
          <w:rFonts w:ascii="仿宋_GB2312" w:eastAsia="仿宋_GB2312" w:hAnsi="Calibri" w:cs="Times New Roman"/>
          <w:kern w:val="2"/>
          <w:sz w:val="32"/>
          <w:szCs w:val="32"/>
        </w:rPr>
        <w:t>z</w:t>
      </w:r>
      <w:r>
        <w:rPr>
          <w:rFonts w:ascii="仿宋_GB2312" w:eastAsia="仿宋_GB2312" w:hAnsi="Calibri" w:cs="Times New Roman"/>
          <w:kern w:val="2"/>
          <w:sz w:val="32"/>
          <w:szCs w:val="32"/>
        </w:rPr>
        <w:t>步进</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11</w:t>
      </w:r>
      <w:r>
        <w:rPr>
          <w:rFonts w:ascii="仿宋_GB2312" w:eastAsia="仿宋_GB2312" w:hAnsi="Calibri" w:cs="Times New Roman"/>
          <w:kern w:val="2"/>
          <w:sz w:val="32"/>
          <w:szCs w:val="32"/>
        </w:rPr>
        <w:t>）设备需支持对</w:t>
      </w:r>
      <w:r>
        <w:rPr>
          <w:rFonts w:ascii="仿宋_GB2312" w:eastAsia="仿宋_GB2312" w:hAnsi="Calibri" w:cs="Times New Roman"/>
          <w:kern w:val="2"/>
          <w:sz w:val="32"/>
          <w:szCs w:val="32"/>
        </w:rPr>
        <w:t>CW</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AM</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FM</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ASK</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2FSK</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4FSK</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MSK</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BPSK</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QPSK</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OQPSK</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8PSK</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16PSK</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16QAM</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32QAM</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64QAM</w:t>
      </w:r>
      <w:r>
        <w:rPr>
          <w:rFonts w:ascii="仿宋_GB2312" w:eastAsia="仿宋_GB2312" w:hAnsi="Calibri" w:cs="Times New Roman"/>
          <w:kern w:val="2"/>
          <w:sz w:val="32"/>
          <w:szCs w:val="32"/>
        </w:rPr>
        <w:t>等信号调制类型的识别。</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12</w:t>
      </w:r>
      <w:r>
        <w:rPr>
          <w:rFonts w:ascii="仿宋_GB2312" w:eastAsia="仿宋_GB2312" w:hAnsi="Calibri" w:cs="Times New Roman"/>
          <w:kern w:val="2"/>
          <w:sz w:val="32"/>
          <w:szCs w:val="32"/>
        </w:rPr>
        <w:t>）系统功耗：＜</w:t>
      </w:r>
      <w:r>
        <w:rPr>
          <w:rFonts w:ascii="仿宋_GB2312" w:eastAsia="仿宋_GB2312" w:hAnsi="Calibri" w:cs="Times New Roman"/>
          <w:kern w:val="2"/>
          <w:sz w:val="32"/>
          <w:szCs w:val="32"/>
        </w:rPr>
        <w:t>60W</w:t>
      </w:r>
      <w:r>
        <w:rPr>
          <w:rFonts w:ascii="仿宋_GB2312" w:eastAsia="仿宋_GB2312" w:hAnsi="Calibri" w:cs="Times New Roman"/>
          <w:kern w:val="2"/>
          <w:sz w:val="32"/>
          <w:szCs w:val="32"/>
        </w:rPr>
        <w:t>。</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13</w:t>
      </w:r>
      <w:r>
        <w:rPr>
          <w:rFonts w:ascii="仿宋_GB2312" w:eastAsia="仿宋_GB2312" w:hAnsi="Calibri" w:cs="Times New Roman"/>
          <w:kern w:val="2"/>
          <w:sz w:val="32"/>
          <w:szCs w:val="32"/>
        </w:rPr>
        <w:t>）电源接口：</w:t>
      </w:r>
      <w:r>
        <w:rPr>
          <w:rFonts w:ascii="仿宋_GB2312" w:eastAsia="仿宋_GB2312" w:hAnsi="Calibri" w:cs="Times New Roman"/>
          <w:kern w:val="2"/>
          <w:sz w:val="32"/>
          <w:szCs w:val="32"/>
        </w:rPr>
        <w:t>AC220V</w:t>
      </w:r>
      <w:r>
        <w:rPr>
          <w:rFonts w:ascii="仿宋_GB2312" w:eastAsia="仿宋_GB2312" w:hAnsi="Calibri" w:cs="Times New Roman"/>
          <w:kern w:val="2"/>
          <w:sz w:val="32"/>
          <w:szCs w:val="32"/>
        </w:rPr>
        <w:t>。</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14</w:t>
      </w:r>
      <w:r>
        <w:rPr>
          <w:rFonts w:ascii="仿宋_GB2312" w:eastAsia="仿宋_GB2312" w:hAnsi="Calibri" w:cs="Times New Roman"/>
          <w:kern w:val="2"/>
          <w:sz w:val="32"/>
          <w:szCs w:val="32"/>
        </w:rPr>
        <w:t>）天线重量：≤</w:t>
      </w:r>
      <w:r>
        <w:rPr>
          <w:rFonts w:ascii="仿宋_GB2312" w:eastAsia="仿宋_GB2312" w:hAnsi="Calibri" w:cs="Times New Roman"/>
          <w:kern w:val="2"/>
          <w:sz w:val="32"/>
          <w:szCs w:val="32"/>
        </w:rPr>
        <w:t>6kg</w:t>
      </w:r>
      <w:r>
        <w:rPr>
          <w:rFonts w:ascii="仿宋_GB2312" w:eastAsia="仿宋_GB2312" w:hAnsi="Calibri" w:cs="Times New Roman"/>
          <w:kern w:val="2"/>
          <w:sz w:val="32"/>
          <w:szCs w:val="32"/>
        </w:rPr>
        <w:t>。</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15</w:t>
      </w:r>
      <w:r>
        <w:rPr>
          <w:rFonts w:ascii="仿宋_GB2312" w:eastAsia="仿宋_GB2312" w:hAnsi="Calibri" w:cs="Times New Roman"/>
          <w:kern w:val="2"/>
          <w:sz w:val="32"/>
          <w:szCs w:val="32"/>
        </w:rPr>
        <w:t>）主机重量：≤</w:t>
      </w:r>
      <w:r>
        <w:rPr>
          <w:rFonts w:ascii="仿宋_GB2312" w:eastAsia="仿宋_GB2312" w:hAnsi="Calibri" w:cs="Times New Roman"/>
          <w:kern w:val="2"/>
          <w:sz w:val="32"/>
          <w:szCs w:val="32"/>
        </w:rPr>
        <w:t>8kg</w:t>
      </w:r>
      <w:r>
        <w:rPr>
          <w:rFonts w:ascii="仿宋_GB2312" w:eastAsia="仿宋_GB2312" w:hAnsi="Calibri" w:cs="Times New Roman"/>
          <w:kern w:val="2"/>
          <w:sz w:val="32"/>
          <w:szCs w:val="32"/>
        </w:rPr>
        <w:t>。</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16</w:t>
      </w:r>
      <w:r>
        <w:rPr>
          <w:rFonts w:ascii="仿宋_GB2312" w:eastAsia="仿宋_GB2312" w:hAnsi="Calibri" w:cs="Times New Roman"/>
          <w:kern w:val="2"/>
          <w:sz w:val="32"/>
          <w:szCs w:val="32"/>
        </w:rPr>
        <w:t>）工作温度：</w:t>
      </w:r>
      <w:r>
        <w:rPr>
          <w:rFonts w:ascii="仿宋_GB2312" w:eastAsia="仿宋_GB2312" w:hAnsi="Calibri" w:cs="Times New Roman"/>
          <w:kern w:val="2"/>
          <w:sz w:val="32"/>
          <w:szCs w:val="32"/>
        </w:rPr>
        <w:t>-20</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+55</w:t>
      </w:r>
      <w:r>
        <w:rPr>
          <w:rFonts w:ascii="仿宋_GB2312" w:eastAsia="仿宋_GB2312" w:hAnsi="Calibri" w:cs="Times New Roman"/>
          <w:kern w:val="2"/>
          <w:sz w:val="32"/>
          <w:szCs w:val="32"/>
        </w:rPr>
        <w:t>℃。</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17</w:t>
      </w:r>
      <w:r>
        <w:rPr>
          <w:rFonts w:ascii="仿宋_GB2312" w:eastAsia="仿宋_GB2312" w:hAnsi="Calibri" w:cs="Times New Roman"/>
          <w:kern w:val="2"/>
          <w:sz w:val="32"/>
          <w:szCs w:val="32"/>
        </w:rPr>
        <w:t>）存储温度：</w:t>
      </w:r>
      <w:r>
        <w:rPr>
          <w:rFonts w:ascii="仿宋_GB2312" w:eastAsia="仿宋_GB2312" w:hAnsi="Calibri" w:cs="Times New Roman"/>
          <w:kern w:val="2"/>
          <w:sz w:val="32"/>
          <w:szCs w:val="32"/>
        </w:rPr>
        <w:t>-40</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+70</w:t>
      </w:r>
      <w:r>
        <w:rPr>
          <w:rFonts w:ascii="仿宋_GB2312" w:eastAsia="仿宋_GB2312" w:hAnsi="Calibri" w:cs="Times New Roman"/>
          <w:kern w:val="2"/>
          <w:sz w:val="32"/>
          <w:szCs w:val="32"/>
        </w:rPr>
        <w:t>℃。</w:t>
      </w:r>
    </w:p>
    <w:p w:rsidR="008B3DD4" w:rsidRDefault="00250D0B">
      <w:pPr>
        <w:pStyle w:val="2"/>
        <w:keepNext w:val="0"/>
        <w:keepLines w:val="0"/>
        <w:wordWrap w:val="0"/>
        <w:spacing w:before="0" w:after="0" w:line="360" w:lineRule="auto"/>
        <w:ind w:left="0" w:firstLine="0"/>
        <w:rPr>
          <w:rFonts w:ascii="楷体_GB2312" w:eastAsia="楷体_GB2312" w:hAnsi="楷体_GB2312" w:cs="楷体_GB2312"/>
          <w:sz w:val="32"/>
          <w:szCs w:val="40"/>
        </w:rPr>
      </w:pPr>
      <w:bookmarkStart w:id="5" w:name="OLE_LINK1"/>
      <w:bookmarkStart w:id="6" w:name="OLE_LINK2"/>
      <w:r>
        <w:rPr>
          <w:rFonts w:ascii="楷体_GB2312" w:eastAsia="楷体_GB2312" w:hAnsi="楷体_GB2312" w:cs="楷体_GB2312" w:hint="eastAsia"/>
          <w:sz w:val="32"/>
          <w:szCs w:val="40"/>
        </w:rPr>
        <w:t>4.</w:t>
      </w:r>
      <w:r>
        <w:rPr>
          <w:rFonts w:ascii="楷体_GB2312" w:eastAsia="楷体_GB2312" w:hAnsi="楷体_GB2312" w:cs="楷体_GB2312" w:hint="eastAsia"/>
          <w:sz w:val="32"/>
          <w:szCs w:val="40"/>
        </w:rPr>
        <w:t>配置清单</w:t>
      </w:r>
      <w:bookmarkEnd w:id="5"/>
      <w:bookmarkEnd w:id="6"/>
    </w:p>
    <w:tbl>
      <w:tblPr>
        <w:tblW w:w="50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535"/>
        <w:gridCol w:w="5100"/>
        <w:gridCol w:w="664"/>
        <w:gridCol w:w="1012"/>
        <w:gridCol w:w="1012"/>
      </w:tblGrid>
      <w:tr w:rsidR="008B3DD4">
        <w:trPr>
          <w:jc w:val="center"/>
        </w:trPr>
        <w:tc>
          <w:tcPr>
            <w:tcW w:w="321" w:type="pct"/>
            <w:vAlign w:val="center"/>
          </w:tcPr>
          <w:p w:rsidR="008B3DD4" w:rsidRDefault="00250D0B">
            <w:pPr>
              <w:pStyle w:val="null3"/>
              <w:jc w:val="center"/>
              <w:rPr>
                <w:rFonts w:hint="default"/>
                <w:b/>
                <w:bCs/>
              </w:rPr>
            </w:pPr>
            <w:r>
              <w:rPr>
                <w:b/>
                <w:bCs/>
              </w:rPr>
              <w:t>序号</w:t>
            </w:r>
          </w:p>
        </w:tc>
        <w:tc>
          <w:tcPr>
            <w:tcW w:w="3062" w:type="pct"/>
            <w:vAlign w:val="center"/>
          </w:tcPr>
          <w:p w:rsidR="008B3DD4" w:rsidRDefault="00250D0B">
            <w:pPr>
              <w:pStyle w:val="null3"/>
              <w:jc w:val="center"/>
              <w:rPr>
                <w:rFonts w:hint="default"/>
                <w:b/>
                <w:bCs/>
              </w:rPr>
            </w:pPr>
            <w:r>
              <w:rPr>
                <w:b/>
                <w:bCs/>
              </w:rPr>
              <w:t>名称</w:t>
            </w:r>
          </w:p>
        </w:tc>
        <w:tc>
          <w:tcPr>
            <w:tcW w:w="399" w:type="pct"/>
            <w:vAlign w:val="center"/>
          </w:tcPr>
          <w:p w:rsidR="008B3DD4" w:rsidRDefault="00250D0B">
            <w:pPr>
              <w:pStyle w:val="null3"/>
              <w:jc w:val="center"/>
              <w:rPr>
                <w:rFonts w:hint="default"/>
                <w:b/>
                <w:bCs/>
              </w:rPr>
            </w:pPr>
            <w:r>
              <w:rPr>
                <w:b/>
                <w:bCs/>
              </w:rPr>
              <w:t>数量</w:t>
            </w:r>
          </w:p>
        </w:tc>
        <w:tc>
          <w:tcPr>
            <w:tcW w:w="608" w:type="pct"/>
            <w:vAlign w:val="center"/>
          </w:tcPr>
          <w:p w:rsidR="008B3DD4" w:rsidRDefault="00250D0B">
            <w:pPr>
              <w:pStyle w:val="null3"/>
              <w:jc w:val="center"/>
              <w:rPr>
                <w:rFonts w:hint="default"/>
                <w:b/>
                <w:bCs/>
              </w:rPr>
            </w:pPr>
            <w:r>
              <w:rPr>
                <w:b/>
                <w:bCs/>
              </w:rPr>
              <w:t>单位</w:t>
            </w:r>
          </w:p>
        </w:tc>
        <w:tc>
          <w:tcPr>
            <w:tcW w:w="608" w:type="pct"/>
            <w:vAlign w:val="center"/>
          </w:tcPr>
          <w:p w:rsidR="008B3DD4" w:rsidRDefault="00250D0B">
            <w:pPr>
              <w:pStyle w:val="null3"/>
              <w:jc w:val="center"/>
              <w:rPr>
                <w:rFonts w:hint="default"/>
                <w:b/>
                <w:bCs/>
              </w:rPr>
            </w:pPr>
            <w:r>
              <w:rPr>
                <w:b/>
                <w:bCs/>
              </w:rPr>
              <w:t>备注</w:t>
            </w:r>
          </w:p>
        </w:tc>
      </w:tr>
      <w:tr w:rsidR="008B3DD4">
        <w:trPr>
          <w:jc w:val="center"/>
        </w:trPr>
        <w:tc>
          <w:tcPr>
            <w:tcW w:w="321" w:type="pct"/>
            <w:vAlign w:val="center"/>
          </w:tcPr>
          <w:p w:rsidR="008B3DD4" w:rsidRDefault="00250D0B">
            <w:pPr>
              <w:pStyle w:val="null3"/>
              <w:jc w:val="center"/>
              <w:rPr>
                <w:rFonts w:hint="default"/>
              </w:rPr>
            </w:pPr>
            <w:r>
              <w:t>1</w:t>
            </w:r>
          </w:p>
        </w:tc>
        <w:tc>
          <w:tcPr>
            <w:tcW w:w="3062" w:type="pct"/>
            <w:vAlign w:val="center"/>
          </w:tcPr>
          <w:p w:rsidR="008B3DD4" w:rsidRDefault="00250D0B">
            <w:pPr>
              <w:pStyle w:val="null3"/>
              <w:jc w:val="center"/>
              <w:rPr>
                <w:rFonts w:hint="default"/>
              </w:rPr>
            </w:pPr>
            <w:r>
              <w:t>卫星导航干扰监测测向主设备</w:t>
            </w:r>
          </w:p>
        </w:tc>
        <w:tc>
          <w:tcPr>
            <w:tcW w:w="399" w:type="pct"/>
            <w:vAlign w:val="center"/>
          </w:tcPr>
          <w:p w:rsidR="008B3DD4" w:rsidRDefault="00250D0B">
            <w:pPr>
              <w:pStyle w:val="null3"/>
              <w:jc w:val="center"/>
              <w:rPr>
                <w:rFonts w:hint="default"/>
              </w:rPr>
            </w:pPr>
            <w:r>
              <w:t>1</w:t>
            </w:r>
          </w:p>
        </w:tc>
        <w:tc>
          <w:tcPr>
            <w:tcW w:w="608" w:type="pct"/>
            <w:vAlign w:val="center"/>
          </w:tcPr>
          <w:p w:rsidR="008B3DD4" w:rsidRDefault="00250D0B">
            <w:pPr>
              <w:pStyle w:val="null3"/>
              <w:jc w:val="center"/>
              <w:rPr>
                <w:rFonts w:hint="default"/>
              </w:rPr>
            </w:pPr>
            <w:r>
              <w:t>套</w:t>
            </w:r>
          </w:p>
        </w:tc>
        <w:tc>
          <w:tcPr>
            <w:tcW w:w="608" w:type="pct"/>
            <w:vAlign w:val="center"/>
          </w:tcPr>
          <w:p w:rsidR="008B3DD4" w:rsidRDefault="008B3DD4">
            <w:pPr>
              <w:pStyle w:val="null3"/>
              <w:jc w:val="center"/>
              <w:rPr>
                <w:rFonts w:hint="default"/>
              </w:rPr>
            </w:pPr>
          </w:p>
        </w:tc>
      </w:tr>
      <w:tr w:rsidR="008B3DD4">
        <w:trPr>
          <w:jc w:val="center"/>
        </w:trPr>
        <w:tc>
          <w:tcPr>
            <w:tcW w:w="321" w:type="pct"/>
            <w:vAlign w:val="center"/>
          </w:tcPr>
          <w:p w:rsidR="008B3DD4" w:rsidRDefault="00250D0B">
            <w:pPr>
              <w:pStyle w:val="null3"/>
              <w:jc w:val="center"/>
              <w:rPr>
                <w:rFonts w:hint="default"/>
              </w:rPr>
            </w:pPr>
            <w:r>
              <w:t>2</w:t>
            </w:r>
          </w:p>
        </w:tc>
        <w:tc>
          <w:tcPr>
            <w:tcW w:w="3062" w:type="pct"/>
            <w:vAlign w:val="center"/>
          </w:tcPr>
          <w:p w:rsidR="008B3DD4" w:rsidRDefault="00250D0B">
            <w:pPr>
              <w:pStyle w:val="null3"/>
              <w:jc w:val="center"/>
              <w:rPr>
                <w:rFonts w:hint="default"/>
              </w:rPr>
            </w:pPr>
            <w:r>
              <w:t>一体化监测测向天线（含监测测向及控制线缆）</w:t>
            </w:r>
          </w:p>
        </w:tc>
        <w:tc>
          <w:tcPr>
            <w:tcW w:w="399" w:type="pct"/>
            <w:vAlign w:val="center"/>
          </w:tcPr>
          <w:p w:rsidR="008B3DD4" w:rsidRDefault="00250D0B">
            <w:pPr>
              <w:pStyle w:val="null3"/>
              <w:jc w:val="center"/>
              <w:rPr>
                <w:rFonts w:hint="default"/>
              </w:rPr>
            </w:pPr>
            <w:r>
              <w:t>1</w:t>
            </w:r>
          </w:p>
        </w:tc>
        <w:tc>
          <w:tcPr>
            <w:tcW w:w="608" w:type="pct"/>
            <w:vAlign w:val="center"/>
          </w:tcPr>
          <w:p w:rsidR="008B3DD4" w:rsidRDefault="00250D0B">
            <w:pPr>
              <w:pStyle w:val="null3"/>
              <w:jc w:val="center"/>
              <w:rPr>
                <w:rFonts w:hint="default"/>
              </w:rPr>
            </w:pPr>
            <w:r>
              <w:t>套</w:t>
            </w:r>
          </w:p>
        </w:tc>
        <w:tc>
          <w:tcPr>
            <w:tcW w:w="608" w:type="pct"/>
            <w:vAlign w:val="center"/>
          </w:tcPr>
          <w:p w:rsidR="008B3DD4" w:rsidRDefault="008B3DD4">
            <w:pPr>
              <w:pStyle w:val="null3"/>
              <w:jc w:val="center"/>
              <w:rPr>
                <w:rFonts w:hint="default"/>
              </w:rPr>
            </w:pPr>
          </w:p>
        </w:tc>
      </w:tr>
      <w:tr w:rsidR="008B3DD4">
        <w:trPr>
          <w:jc w:val="center"/>
        </w:trPr>
        <w:tc>
          <w:tcPr>
            <w:tcW w:w="321" w:type="pct"/>
            <w:vAlign w:val="center"/>
          </w:tcPr>
          <w:p w:rsidR="008B3DD4" w:rsidRDefault="00250D0B">
            <w:pPr>
              <w:pStyle w:val="null3"/>
              <w:jc w:val="center"/>
              <w:rPr>
                <w:rFonts w:hint="default"/>
              </w:rPr>
            </w:pPr>
            <w:r>
              <w:t>3</w:t>
            </w:r>
          </w:p>
        </w:tc>
        <w:tc>
          <w:tcPr>
            <w:tcW w:w="3062" w:type="pct"/>
            <w:vAlign w:val="center"/>
          </w:tcPr>
          <w:p w:rsidR="008B3DD4" w:rsidRDefault="00250D0B">
            <w:pPr>
              <w:pStyle w:val="null3"/>
              <w:jc w:val="center"/>
              <w:rPr>
                <w:rFonts w:hint="default"/>
              </w:rPr>
            </w:pPr>
            <w:r>
              <w:t>车载安装、固定安装、可搬移安装结构套件（车载安装磁吸底座及转接件、三脚架及配套转接结构件、固定安装结构件等）</w:t>
            </w:r>
          </w:p>
        </w:tc>
        <w:tc>
          <w:tcPr>
            <w:tcW w:w="399" w:type="pct"/>
            <w:vAlign w:val="center"/>
          </w:tcPr>
          <w:p w:rsidR="008B3DD4" w:rsidRDefault="00250D0B">
            <w:pPr>
              <w:pStyle w:val="null3"/>
              <w:jc w:val="center"/>
              <w:rPr>
                <w:rFonts w:hint="default"/>
              </w:rPr>
            </w:pPr>
            <w:r>
              <w:t>1</w:t>
            </w:r>
          </w:p>
        </w:tc>
        <w:tc>
          <w:tcPr>
            <w:tcW w:w="608" w:type="pct"/>
            <w:vAlign w:val="center"/>
          </w:tcPr>
          <w:p w:rsidR="008B3DD4" w:rsidRDefault="00250D0B">
            <w:pPr>
              <w:pStyle w:val="null3"/>
              <w:jc w:val="center"/>
              <w:rPr>
                <w:rFonts w:hint="default"/>
              </w:rPr>
            </w:pPr>
            <w:r>
              <w:t>套</w:t>
            </w:r>
          </w:p>
        </w:tc>
        <w:tc>
          <w:tcPr>
            <w:tcW w:w="608" w:type="pct"/>
            <w:vAlign w:val="center"/>
          </w:tcPr>
          <w:p w:rsidR="008B3DD4" w:rsidRDefault="008B3DD4">
            <w:pPr>
              <w:pStyle w:val="null3"/>
              <w:jc w:val="center"/>
              <w:rPr>
                <w:rFonts w:hint="default"/>
              </w:rPr>
            </w:pPr>
          </w:p>
        </w:tc>
      </w:tr>
      <w:tr w:rsidR="008B3DD4">
        <w:trPr>
          <w:jc w:val="center"/>
        </w:trPr>
        <w:tc>
          <w:tcPr>
            <w:tcW w:w="321" w:type="pct"/>
            <w:vAlign w:val="center"/>
          </w:tcPr>
          <w:p w:rsidR="008B3DD4" w:rsidRDefault="00250D0B">
            <w:pPr>
              <w:pStyle w:val="null3"/>
              <w:jc w:val="center"/>
              <w:rPr>
                <w:rFonts w:hint="default"/>
              </w:rPr>
            </w:pPr>
            <w:r>
              <w:t>4</w:t>
            </w:r>
          </w:p>
        </w:tc>
        <w:tc>
          <w:tcPr>
            <w:tcW w:w="3062" w:type="pct"/>
            <w:shd w:val="clear" w:color="auto" w:fill="FFFFFF"/>
            <w:vAlign w:val="center"/>
          </w:tcPr>
          <w:p w:rsidR="008B3DD4" w:rsidRDefault="00250D0B">
            <w:pPr>
              <w:pStyle w:val="null3"/>
              <w:jc w:val="center"/>
              <w:rPr>
                <w:rFonts w:hint="default"/>
              </w:rPr>
            </w:pPr>
            <w:r>
              <w:t>携带箱</w:t>
            </w:r>
          </w:p>
        </w:tc>
        <w:tc>
          <w:tcPr>
            <w:tcW w:w="399" w:type="pct"/>
            <w:shd w:val="clear" w:color="auto" w:fill="FFFFFF"/>
            <w:vAlign w:val="center"/>
          </w:tcPr>
          <w:p w:rsidR="008B3DD4" w:rsidRDefault="00250D0B">
            <w:pPr>
              <w:pStyle w:val="null3"/>
              <w:jc w:val="center"/>
              <w:rPr>
                <w:rFonts w:hint="default"/>
              </w:rPr>
            </w:pPr>
            <w:r>
              <w:t>1</w:t>
            </w:r>
          </w:p>
        </w:tc>
        <w:tc>
          <w:tcPr>
            <w:tcW w:w="608" w:type="pct"/>
            <w:shd w:val="clear" w:color="auto" w:fill="FFFFFF"/>
            <w:vAlign w:val="center"/>
          </w:tcPr>
          <w:p w:rsidR="008B3DD4" w:rsidRDefault="00250D0B">
            <w:pPr>
              <w:pStyle w:val="null3"/>
              <w:jc w:val="center"/>
              <w:rPr>
                <w:rFonts w:hint="default"/>
              </w:rPr>
            </w:pPr>
            <w:r>
              <w:t>套</w:t>
            </w:r>
          </w:p>
        </w:tc>
        <w:tc>
          <w:tcPr>
            <w:tcW w:w="608" w:type="pct"/>
            <w:shd w:val="clear" w:color="auto" w:fill="FFFFFF"/>
            <w:vAlign w:val="center"/>
          </w:tcPr>
          <w:p w:rsidR="008B3DD4" w:rsidRDefault="008B3DD4">
            <w:pPr>
              <w:pStyle w:val="null3"/>
              <w:jc w:val="center"/>
              <w:rPr>
                <w:rFonts w:hint="default"/>
              </w:rPr>
            </w:pPr>
          </w:p>
        </w:tc>
      </w:tr>
    </w:tbl>
    <w:bookmarkEnd w:id="4"/>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lastRenderedPageBreak/>
        <w:t>供应商需以配置清单为基础进行报价。其他诸如勘查、设计、施工、检测、测试、交通、运输、验收等所有配套费用均包含在投标总价中并摊入设备清单，不得单列。</w:t>
      </w:r>
    </w:p>
    <w:p w:rsidR="008B3DD4" w:rsidRDefault="00250D0B">
      <w:pPr>
        <w:rPr>
          <w:rFonts w:ascii="仿宋_GB2312" w:eastAsia="仿宋_GB2312" w:hAnsi="Times New Roman" w:cs="DejaVuSans"/>
          <w:b/>
          <w:bCs/>
          <w:color w:val="000000"/>
          <w:kern w:val="0"/>
          <w:sz w:val="32"/>
          <w:szCs w:val="32"/>
        </w:rPr>
      </w:pPr>
      <w:r>
        <w:rPr>
          <w:rFonts w:ascii="仿宋_GB2312" w:eastAsia="仿宋_GB2312" w:hAnsi="Times New Roman" w:cs="DejaVuSans" w:hint="eastAsia"/>
          <w:b/>
          <w:bCs/>
          <w:color w:val="000000"/>
          <w:kern w:val="0"/>
          <w:sz w:val="32"/>
          <w:szCs w:val="32"/>
        </w:rPr>
        <w:t>四、项目其他要求</w:t>
      </w:r>
    </w:p>
    <w:p w:rsidR="008B3DD4" w:rsidRDefault="00250D0B">
      <w:r>
        <w:rPr>
          <w:rFonts w:ascii="仿宋_GB2312" w:eastAsia="仿宋_GB2312" w:hAnsi="Times New Roman" w:cs="DejaVuSans" w:hint="eastAsia"/>
          <w:b/>
          <w:bCs/>
          <w:color w:val="000000"/>
          <w:kern w:val="0"/>
          <w:sz w:val="32"/>
          <w:szCs w:val="32"/>
        </w:rPr>
        <w:t>1.</w:t>
      </w:r>
      <w:r>
        <w:rPr>
          <w:rFonts w:ascii="仿宋_GB2312" w:eastAsia="仿宋_GB2312" w:hAnsi="Times New Roman" w:cs="DejaVuSans" w:hint="eastAsia"/>
          <w:b/>
          <w:bCs/>
          <w:color w:val="000000"/>
          <w:kern w:val="0"/>
          <w:sz w:val="32"/>
          <w:szCs w:val="32"/>
        </w:rPr>
        <w:t>交货时间要求</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合同签订之日起</w:t>
      </w:r>
      <w:r>
        <w:rPr>
          <w:rFonts w:ascii="仿宋_GB2312" w:eastAsia="仿宋_GB2312" w:hAnsi="Calibri" w:cs="Times New Roman"/>
          <w:kern w:val="2"/>
          <w:sz w:val="32"/>
          <w:szCs w:val="32"/>
        </w:rPr>
        <w:t>30</w:t>
      </w:r>
      <w:r>
        <w:rPr>
          <w:rFonts w:ascii="仿宋_GB2312" w:eastAsia="仿宋_GB2312" w:hAnsi="Calibri" w:cs="Times New Roman"/>
          <w:kern w:val="2"/>
          <w:sz w:val="32"/>
          <w:szCs w:val="32"/>
        </w:rPr>
        <w:t>日（含设备供货、包装、运输、搬运、安装调试、试运行（或操作使用）及各阶段验收时间，确保项目按期完成，不可抗力或采购人原因除外）。</w:t>
      </w:r>
    </w:p>
    <w:p w:rsidR="008B3DD4" w:rsidRDefault="00250D0B">
      <w:pPr>
        <w:autoSpaceDE w:val="0"/>
        <w:autoSpaceDN w:val="0"/>
        <w:adjustRightInd w:val="0"/>
        <w:spacing w:line="520" w:lineRule="exact"/>
        <w:rPr>
          <w:rFonts w:ascii="仿宋_GB2312" w:eastAsia="仿宋_GB2312" w:hAnsi="Times New Roman" w:cs="DejaVuSans"/>
          <w:b/>
          <w:bCs/>
          <w:color w:val="000000"/>
          <w:kern w:val="0"/>
          <w:sz w:val="32"/>
          <w:szCs w:val="32"/>
        </w:rPr>
      </w:pPr>
      <w:r>
        <w:rPr>
          <w:rFonts w:ascii="仿宋_GB2312" w:eastAsia="仿宋_GB2312" w:hAnsi="Times New Roman" w:cs="DejaVuSans" w:hint="eastAsia"/>
          <w:b/>
          <w:bCs/>
          <w:color w:val="000000"/>
          <w:kern w:val="0"/>
          <w:sz w:val="32"/>
          <w:szCs w:val="32"/>
        </w:rPr>
        <w:t>2.</w:t>
      </w:r>
      <w:r>
        <w:rPr>
          <w:rFonts w:ascii="仿宋_GB2312" w:eastAsia="仿宋_GB2312" w:hAnsi="Times New Roman" w:cs="DejaVuSans" w:hint="eastAsia"/>
          <w:b/>
          <w:bCs/>
          <w:color w:val="000000"/>
          <w:kern w:val="0"/>
          <w:sz w:val="32"/>
          <w:szCs w:val="32"/>
        </w:rPr>
        <w:t>履约验收方式</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依据《福建省工业和信息化厅关于印发无线电基础和技术设施建设项目管理办法的通知》（闽工信函频管﹝</w:t>
      </w:r>
      <w:r>
        <w:rPr>
          <w:rFonts w:ascii="仿宋_GB2312" w:eastAsia="仿宋_GB2312" w:hAnsi="Calibri" w:cs="Times New Roman"/>
          <w:kern w:val="2"/>
          <w:sz w:val="32"/>
          <w:szCs w:val="32"/>
        </w:rPr>
        <w:t>2023</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417</w:t>
      </w:r>
      <w:r>
        <w:rPr>
          <w:rFonts w:ascii="仿宋_GB2312" w:eastAsia="仿宋_GB2312" w:hAnsi="Calibri" w:cs="Times New Roman"/>
          <w:kern w:val="2"/>
          <w:sz w:val="32"/>
          <w:szCs w:val="32"/>
        </w:rPr>
        <w:t>号）相关要求及招投标文件、合同等有关内容进行验收。验收小组由采购人、中标人的人员组成。全部货物到达中标人集成地（含检测场所）或采购人指定地点后，中标人和采购人一同对全部货物的数量、型号、基本质量进行到货点验。随同货物应提供供货证明、设备质量合格证、具有</w:t>
      </w:r>
      <w:r>
        <w:rPr>
          <w:rFonts w:ascii="仿宋_GB2312" w:eastAsia="仿宋_GB2312" w:hAnsi="Calibri" w:cs="Times New Roman"/>
          <w:kern w:val="2"/>
          <w:sz w:val="32"/>
          <w:szCs w:val="32"/>
        </w:rPr>
        <w:t>CMA</w:t>
      </w:r>
      <w:r>
        <w:rPr>
          <w:rFonts w:ascii="仿宋_GB2312" w:eastAsia="仿宋_GB2312" w:hAnsi="Calibri" w:cs="Times New Roman"/>
          <w:kern w:val="2"/>
          <w:sz w:val="32"/>
          <w:szCs w:val="32"/>
        </w:rPr>
        <w:t>或</w:t>
      </w:r>
      <w:r>
        <w:rPr>
          <w:rFonts w:ascii="仿宋_GB2312" w:eastAsia="仿宋_GB2312" w:hAnsi="Calibri" w:cs="Times New Roman"/>
          <w:kern w:val="2"/>
          <w:sz w:val="32"/>
          <w:szCs w:val="32"/>
        </w:rPr>
        <w:t>CNAS</w:t>
      </w:r>
      <w:r>
        <w:rPr>
          <w:rFonts w:ascii="仿宋_GB2312" w:eastAsia="仿宋_GB2312" w:hAnsi="Calibri" w:cs="Times New Roman"/>
          <w:kern w:val="2"/>
          <w:sz w:val="32"/>
          <w:szCs w:val="32"/>
        </w:rPr>
        <w:t>资质的第三方检测机构出具的本项目交付清单（含设备序列号）中所列</w:t>
      </w:r>
      <w:r>
        <w:rPr>
          <w:rFonts w:ascii="仿宋_GB2312" w:eastAsia="仿宋_GB2312"/>
          <w:sz w:val="32"/>
          <w:szCs w:val="32"/>
        </w:rPr>
        <w:t>车载式导航卫星干扰侦测系统</w:t>
      </w:r>
      <w:r>
        <w:rPr>
          <w:rFonts w:ascii="仿宋_GB2312" w:eastAsia="仿宋_GB2312" w:hAnsi="Calibri" w:cs="Times New Roman"/>
          <w:kern w:val="2"/>
          <w:sz w:val="32"/>
          <w:szCs w:val="32"/>
        </w:rPr>
        <w:t>测试报告，检测费用由中标人承担。</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采购人有权委</w:t>
      </w:r>
      <w:r>
        <w:rPr>
          <w:rFonts w:ascii="仿宋_GB2312" w:eastAsia="仿宋_GB2312" w:hAnsi="Calibri" w:cs="Times New Roman"/>
          <w:kern w:val="2"/>
          <w:sz w:val="32"/>
          <w:szCs w:val="32"/>
        </w:rPr>
        <w:t>托具有</w:t>
      </w:r>
      <w:r>
        <w:rPr>
          <w:rFonts w:ascii="仿宋_GB2312" w:eastAsia="仿宋_GB2312" w:hAnsi="Calibri" w:cs="Times New Roman"/>
          <w:kern w:val="2"/>
          <w:sz w:val="32"/>
          <w:szCs w:val="32"/>
        </w:rPr>
        <w:t>CMA</w:t>
      </w:r>
      <w:r>
        <w:rPr>
          <w:rFonts w:ascii="仿宋_GB2312" w:eastAsia="仿宋_GB2312" w:hAnsi="Calibri" w:cs="Times New Roman"/>
          <w:kern w:val="2"/>
          <w:sz w:val="32"/>
          <w:szCs w:val="32"/>
        </w:rPr>
        <w:t>或</w:t>
      </w:r>
      <w:r>
        <w:rPr>
          <w:rFonts w:ascii="仿宋_GB2312" w:eastAsia="仿宋_GB2312" w:hAnsi="Calibri" w:cs="Times New Roman"/>
          <w:kern w:val="2"/>
          <w:sz w:val="32"/>
          <w:szCs w:val="32"/>
        </w:rPr>
        <w:t>CNAS</w:t>
      </w:r>
      <w:r>
        <w:rPr>
          <w:rFonts w:ascii="仿宋_GB2312" w:eastAsia="仿宋_GB2312" w:hAnsi="Calibri" w:cs="Times New Roman"/>
          <w:kern w:val="2"/>
          <w:sz w:val="32"/>
          <w:szCs w:val="32"/>
        </w:rPr>
        <w:t>资质的第三方检测机构对部分功能和指标参数进行抽测，并以抽测结果是否合格作为是否进行验收的依据。测试验证、功能和指标参数抽测</w:t>
      </w:r>
      <w:r>
        <w:rPr>
          <w:rFonts w:ascii="仿宋_GB2312" w:eastAsia="仿宋_GB2312" w:hAnsi="Calibri" w:cs="Times New Roman"/>
          <w:kern w:val="2"/>
          <w:sz w:val="32"/>
          <w:szCs w:val="32"/>
        </w:rPr>
        <w:lastRenderedPageBreak/>
        <w:t>等性能测试费用由投标人承担，含在总价中。</w:t>
      </w:r>
      <w:r>
        <w:rPr>
          <w:rFonts w:ascii="仿宋_GB2312" w:eastAsia="仿宋_GB2312" w:hAnsi="Calibri" w:cs="Times New Roman"/>
          <w:kern w:val="2"/>
          <w:sz w:val="32"/>
          <w:szCs w:val="32"/>
        </w:rPr>
        <w:t xml:space="preserve"> </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中标人按招标文件、合同等有关内容完成货物的安装和调试，中标人申请进行到货验收。</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到货验收如果不合格，中标人进行为期</w:t>
      </w:r>
      <w:r>
        <w:rPr>
          <w:rFonts w:ascii="仿宋_GB2312" w:eastAsia="仿宋_GB2312" w:hAnsi="Calibri" w:cs="Times New Roman"/>
          <w:kern w:val="2"/>
          <w:sz w:val="32"/>
          <w:szCs w:val="32"/>
        </w:rPr>
        <w:t>15</w:t>
      </w:r>
      <w:r>
        <w:rPr>
          <w:rFonts w:ascii="仿宋_GB2312" w:eastAsia="仿宋_GB2312" w:hAnsi="Calibri" w:cs="Times New Roman"/>
          <w:kern w:val="2"/>
          <w:sz w:val="32"/>
          <w:szCs w:val="32"/>
        </w:rPr>
        <w:t>个日历日的整改后再次组织到货验收。再次到货验收不合格的，采购人有权解除采购合同，并要求中标人赔偿损失以及保留更换中标人或重新采购的权力，并将相关情况报相关行政主管部门处理。</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竣工验收（合同、初步和竣工验收合</w:t>
      </w:r>
      <w:r>
        <w:rPr>
          <w:rFonts w:ascii="仿宋_GB2312" w:eastAsia="仿宋_GB2312" w:hAnsi="Calibri" w:cs="Times New Roman"/>
          <w:kern w:val="2"/>
          <w:sz w:val="32"/>
          <w:szCs w:val="32"/>
        </w:rPr>
        <w:t>并进行）：按照国家无线电管理（技术）机构规定及《福建省工业和信息化厅关于印发无线电基础和技术设施建设项目管理办法的通知》（闽工信函频管﹝</w:t>
      </w:r>
      <w:r>
        <w:rPr>
          <w:rFonts w:ascii="仿宋_GB2312" w:eastAsia="仿宋_GB2312" w:hAnsi="Calibri" w:cs="Times New Roman"/>
          <w:kern w:val="2"/>
          <w:sz w:val="32"/>
          <w:szCs w:val="32"/>
        </w:rPr>
        <w:t>2023</w:t>
      </w:r>
      <w:r>
        <w:rPr>
          <w:rFonts w:ascii="仿宋_GB2312" w:eastAsia="仿宋_GB2312" w:hAnsi="Calibri" w:cs="Times New Roman"/>
          <w:kern w:val="2"/>
          <w:sz w:val="32"/>
          <w:szCs w:val="32"/>
        </w:rPr>
        <w:t>﹞</w:t>
      </w:r>
      <w:r>
        <w:rPr>
          <w:rFonts w:ascii="仿宋_GB2312" w:eastAsia="仿宋_GB2312" w:hAnsi="Calibri" w:cs="Times New Roman"/>
          <w:kern w:val="2"/>
          <w:sz w:val="32"/>
          <w:szCs w:val="32"/>
        </w:rPr>
        <w:t>417</w:t>
      </w:r>
      <w:r>
        <w:rPr>
          <w:rFonts w:ascii="仿宋_GB2312" w:eastAsia="仿宋_GB2312" w:hAnsi="Calibri" w:cs="Times New Roman"/>
          <w:kern w:val="2"/>
          <w:sz w:val="32"/>
          <w:szCs w:val="32"/>
        </w:rPr>
        <w:t>号）要求，到货验收后，进行不少于</w:t>
      </w:r>
      <w:r>
        <w:rPr>
          <w:rFonts w:ascii="仿宋_GB2312" w:eastAsia="仿宋_GB2312" w:hAnsi="Calibri" w:cs="Times New Roman"/>
          <w:kern w:val="2"/>
          <w:sz w:val="32"/>
          <w:szCs w:val="32"/>
        </w:rPr>
        <w:t>30</w:t>
      </w:r>
      <w:r>
        <w:rPr>
          <w:rFonts w:ascii="仿宋_GB2312" w:eastAsia="仿宋_GB2312" w:hAnsi="Calibri" w:cs="Times New Roman"/>
          <w:kern w:val="2"/>
          <w:sz w:val="32"/>
          <w:szCs w:val="32"/>
        </w:rPr>
        <w:t>个日历日试运行。试运行无故障或已完成试运行整改工作，提交完备的项目竣工相关文档（包括但不限于设备的安装、运行、使用、测试、诊断、软硬件设备的安装指南和维修的技术文件）、备份的资料、采集的数据（如实施文档、配置文档、拓扑图、施工效果图等）等材料，交由采购人组织专家组进行竣工验收。</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各验收环节所涉及的费用，包含且不限于交通运输</w:t>
      </w:r>
      <w:r>
        <w:rPr>
          <w:rFonts w:ascii="仿宋_GB2312" w:eastAsia="仿宋_GB2312" w:hAnsi="Calibri" w:cs="Times New Roman"/>
          <w:kern w:val="2"/>
          <w:sz w:val="32"/>
          <w:szCs w:val="32"/>
        </w:rPr>
        <w:t>、安装、测试、专家评审等，均由中标人承担。</w:t>
      </w:r>
    </w:p>
    <w:p w:rsidR="008B3DD4" w:rsidRDefault="00250D0B">
      <w:pPr>
        <w:autoSpaceDE w:val="0"/>
        <w:autoSpaceDN w:val="0"/>
        <w:adjustRightInd w:val="0"/>
        <w:spacing w:line="520" w:lineRule="exact"/>
        <w:ind w:leftChars="-1" w:left="-2" w:firstLineChars="220" w:firstLine="707"/>
        <w:rPr>
          <w:rFonts w:ascii="仿宋_GB2312" w:eastAsia="仿宋_GB2312" w:hAnsi="Times New Roman" w:cs="DejaVuSans"/>
          <w:b/>
          <w:bCs/>
          <w:color w:val="000000"/>
          <w:kern w:val="0"/>
          <w:sz w:val="32"/>
          <w:szCs w:val="32"/>
        </w:rPr>
      </w:pPr>
      <w:r>
        <w:rPr>
          <w:rFonts w:ascii="仿宋_GB2312" w:eastAsia="仿宋_GB2312" w:hAnsi="Times New Roman" w:cs="DejaVuSans" w:hint="eastAsia"/>
          <w:b/>
          <w:bCs/>
          <w:color w:val="000000"/>
          <w:kern w:val="0"/>
          <w:sz w:val="32"/>
          <w:szCs w:val="32"/>
        </w:rPr>
        <w:t>3.</w:t>
      </w:r>
      <w:r>
        <w:rPr>
          <w:rFonts w:ascii="仿宋_GB2312" w:eastAsia="仿宋_GB2312" w:hAnsi="Times New Roman" w:cs="DejaVuSans" w:hint="eastAsia"/>
          <w:b/>
          <w:bCs/>
          <w:color w:val="000000"/>
          <w:kern w:val="0"/>
          <w:sz w:val="32"/>
          <w:szCs w:val="32"/>
        </w:rPr>
        <w:t>合同支付方式</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1</w:t>
      </w:r>
      <w:r>
        <w:rPr>
          <w:rFonts w:ascii="仿宋_GB2312" w:eastAsia="仿宋_GB2312" w:hAnsi="Calibri" w:cs="Times New Roman"/>
          <w:kern w:val="2"/>
          <w:sz w:val="32"/>
          <w:szCs w:val="32"/>
        </w:rPr>
        <w:t>）到货验收合格后，双方签署到货验收报告且中标</w:t>
      </w:r>
      <w:r>
        <w:rPr>
          <w:rFonts w:ascii="仿宋_GB2312" w:eastAsia="仿宋_GB2312" w:hAnsi="Calibri" w:cs="Times New Roman"/>
          <w:kern w:val="2"/>
          <w:sz w:val="32"/>
          <w:szCs w:val="32"/>
        </w:rPr>
        <w:lastRenderedPageBreak/>
        <w:t>人开具合同金额</w:t>
      </w:r>
      <w:r>
        <w:rPr>
          <w:rFonts w:ascii="仿宋_GB2312" w:eastAsia="仿宋_GB2312" w:hAnsi="Calibri" w:cs="Times New Roman"/>
          <w:kern w:val="2"/>
          <w:sz w:val="32"/>
          <w:szCs w:val="32"/>
        </w:rPr>
        <w:t>100%</w:t>
      </w:r>
      <w:r>
        <w:rPr>
          <w:rFonts w:ascii="仿宋_GB2312" w:eastAsia="仿宋_GB2312" w:hAnsi="Calibri" w:cs="Times New Roman"/>
          <w:kern w:val="2"/>
          <w:sz w:val="32"/>
          <w:szCs w:val="32"/>
        </w:rPr>
        <w:t>的正式发票给采购人，本项目为财政支付项目，采购人须遵守财政支付规定，按照合同按期及时付款，达到付款条件起</w:t>
      </w:r>
      <w:r>
        <w:rPr>
          <w:rFonts w:ascii="仿宋_GB2312" w:eastAsia="仿宋_GB2312" w:hAnsi="Calibri" w:cs="Times New Roman"/>
          <w:kern w:val="2"/>
          <w:sz w:val="32"/>
          <w:szCs w:val="32"/>
        </w:rPr>
        <w:t>10</w:t>
      </w:r>
      <w:r>
        <w:rPr>
          <w:rFonts w:ascii="仿宋_GB2312" w:eastAsia="仿宋_GB2312" w:hAnsi="Calibri" w:cs="Times New Roman"/>
          <w:kern w:val="2"/>
          <w:sz w:val="32"/>
          <w:szCs w:val="32"/>
        </w:rPr>
        <w:t>日内，支付合同总金额的</w:t>
      </w:r>
      <w:r>
        <w:rPr>
          <w:rFonts w:ascii="仿宋_GB2312" w:eastAsia="仿宋_GB2312" w:hAnsi="Calibri" w:cs="Times New Roman"/>
          <w:kern w:val="2"/>
          <w:sz w:val="32"/>
          <w:szCs w:val="32"/>
        </w:rPr>
        <w:t>70.00%</w:t>
      </w:r>
      <w:r>
        <w:rPr>
          <w:rFonts w:ascii="仿宋_GB2312" w:eastAsia="仿宋_GB2312" w:hAnsi="Calibri" w:cs="Times New Roman"/>
          <w:kern w:val="2"/>
          <w:sz w:val="32"/>
          <w:szCs w:val="32"/>
        </w:rPr>
        <w:t>。</w:t>
      </w:r>
    </w:p>
    <w:p w:rsidR="008B3DD4" w:rsidRDefault="00250D0B">
      <w:pPr>
        <w:pStyle w:val="null3"/>
        <w:ind w:firstLineChars="200" w:firstLine="640"/>
        <w:rPr>
          <w:rFonts w:ascii="仿宋_GB2312" w:eastAsia="仿宋_GB2312" w:hAnsi="Calibri" w:cs="Times New Roman" w:hint="default"/>
          <w:kern w:val="2"/>
          <w:sz w:val="32"/>
          <w:szCs w:val="32"/>
        </w:rPr>
      </w:pPr>
      <w:r>
        <w:rPr>
          <w:rFonts w:ascii="仿宋_GB2312" w:eastAsia="仿宋_GB2312" w:hAnsi="Calibri" w:cs="Times New Roman"/>
          <w:kern w:val="2"/>
          <w:sz w:val="32"/>
          <w:szCs w:val="32"/>
        </w:rPr>
        <w:t>（</w:t>
      </w:r>
      <w:r>
        <w:rPr>
          <w:rFonts w:ascii="仿宋_GB2312" w:eastAsia="仿宋_GB2312" w:hAnsi="Calibri" w:cs="Times New Roman"/>
          <w:kern w:val="2"/>
          <w:sz w:val="32"/>
          <w:szCs w:val="32"/>
        </w:rPr>
        <w:t>2</w:t>
      </w:r>
      <w:r>
        <w:rPr>
          <w:rFonts w:ascii="仿宋_GB2312" w:eastAsia="仿宋_GB2312" w:hAnsi="Calibri" w:cs="Times New Roman"/>
          <w:kern w:val="2"/>
          <w:sz w:val="32"/>
          <w:szCs w:val="32"/>
        </w:rPr>
        <w:t>）竣工验收（合同、初步和竣工验收合并）合格后，双方签署竣工验收报告，本项目为财政支付项目，采购人须遵守财政支付规定，达到付款条件起</w:t>
      </w:r>
      <w:r>
        <w:rPr>
          <w:rFonts w:ascii="仿宋_GB2312" w:eastAsia="仿宋_GB2312" w:hAnsi="Calibri" w:cs="Times New Roman"/>
          <w:kern w:val="2"/>
          <w:sz w:val="32"/>
          <w:szCs w:val="32"/>
        </w:rPr>
        <w:t>10</w:t>
      </w:r>
      <w:r>
        <w:rPr>
          <w:rFonts w:ascii="仿宋_GB2312" w:eastAsia="仿宋_GB2312" w:hAnsi="Calibri" w:cs="Times New Roman"/>
          <w:kern w:val="2"/>
          <w:sz w:val="32"/>
          <w:szCs w:val="32"/>
        </w:rPr>
        <w:t>日内，支付合同总金额的</w:t>
      </w:r>
      <w:r>
        <w:rPr>
          <w:rFonts w:ascii="仿宋_GB2312" w:eastAsia="仿宋_GB2312" w:hAnsi="Calibri" w:cs="Times New Roman"/>
          <w:kern w:val="2"/>
          <w:sz w:val="32"/>
          <w:szCs w:val="32"/>
        </w:rPr>
        <w:t>3</w:t>
      </w:r>
      <w:bookmarkStart w:id="7" w:name="_GoBack"/>
      <w:bookmarkEnd w:id="7"/>
      <w:r>
        <w:rPr>
          <w:rFonts w:ascii="仿宋_GB2312" w:eastAsia="仿宋_GB2312" w:hAnsi="Calibri" w:cs="Times New Roman"/>
          <w:kern w:val="2"/>
          <w:sz w:val="32"/>
          <w:szCs w:val="32"/>
        </w:rPr>
        <w:t>0.00%</w:t>
      </w:r>
      <w:r>
        <w:rPr>
          <w:rFonts w:ascii="仿宋_GB2312" w:eastAsia="仿宋_GB2312" w:hAnsi="Calibri" w:cs="Times New Roman"/>
          <w:kern w:val="2"/>
          <w:sz w:val="32"/>
          <w:szCs w:val="32"/>
        </w:rPr>
        <w:t>。</w:t>
      </w:r>
    </w:p>
    <w:p w:rsidR="008B3DD4" w:rsidRDefault="008B3DD4">
      <w:pPr>
        <w:pStyle w:val="null3"/>
        <w:ind w:firstLineChars="200" w:firstLine="640"/>
        <w:rPr>
          <w:rFonts w:ascii="仿宋_GB2312" w:eastAsia="仿宋_GB2312" w:hAnsi="Calibri" w:cs="Times New Roman" w:hint="default"/>
          <w:kern w:val="2"/>
          <w:sz w:val="32"/>
          <w:szCs w:val="32"/>
        </w:rPr>
      </w:pPr>
    </w:p>
    <w:sectPr w:rsidR="008B3DD4" w:rsidSect="008B3DD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D0B" w:rsidRDefault="00250D0B" w:rsidP="00204CAE">
      <w:r>
        <w:separator/>
      </w:r>
    </w:p>
  </w:endnote>
  <w:endnote w:type="continuationSeparator" w:id="1">
    <w:p w:rsidR="00250D0B" w:rsidRDefault="00250D0B" w:rsidP="00204C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DejaVuSans">
    <w:altName w:val="宋体"/>
    <w:charset w:val="86"/>
    <w:family w:val="auto"/>
    <w:pitch w:val="default"/>
    <w:sig w:usb0="00000000" w:usb1="0000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D0B" w:rsidRDefault="00250D0B" w:rsidP="00204CAE">
      <w:r>
        <w:separator/>
      </w:r>
    </w:p>
  </w:footnote>
  <w:footnote w:type="continuationSeparator" w:id="1">
    <w:p w:rsidR="00250D0B" w:rsidRDefault="00250D0B" w:rsidP="00204C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510C35"/>
    <w:multiLevelType w:val="singleLevel"/>
    <w:tmpl w:val="73510C35"/>
    <w:lvl w:ilvl="0">
      <w:start w:val="3"/>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51BF21DC"/>
    <w:rsid w:val="00204CAE"/>
    <w:rsid w:val="00250D0B"/>
    <w:rsid w:val="008B3DD4"/>
    <w:rsid w:val="12D758ED"/>
    <w:rsid w:val="51BF21DC"/>
    <w:rsid w:val="57E832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Indent" w:uiPriority="99" w:qFormat="1"/>
    <w:lsdException w:name="Subtitle" w:qFormat="1"/>
    <w:lsdException w:name="Body Text First Indent 2"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B3DD4"/>
    <w:pPr>
      <w:widowControl w:val="0"/>
      <w:jc w:val="both"/>
    </w:pPr>
    <w:rPr>
      <w:rFonts w:ascii="Calibri" w:eastAsia="宋体" w:hAnsi="Calibri" w:cs="Times New Roman"/>
      <w:kern w:val="2"/>
      <w:sz w:val="21"/>
      <w:szCs w:val="24"/>
    </w:rPr>
  </w:style>
  <w:style w:type="paragraph" w:styleId="1">
    <w:name w:val="heading 1"/>
    <w:basedOn w:val="a"/>
    <w:next w:val="a"/>
    <w:qFormat/>
    <w:rsid w:val="008B3DD4"/>
    <w:pPr>
      <w:keepNext/>
      <w:keepLines/>
      <w:spacing w:before="340" w:after="330" w:line="578" w:lineRule="auto"/>
      <w:outlineLvl w:val="0"/>
    </w:pPr>
    <w:rPr>
      <w:b/>
      <w:bCs/>
      <w:kern w:val="44"/>
      <w:sz w:val="44"/>
      <w:szCs w:val="44"/>
    </w:rPr>
  </w:style>
  <w:style w:type="paragraph" w:styleId="2">
    <w:name w:val="heading 2"/>
    <w:basedOn w:val="a"/>
    <w:next w:val="a"/>
    <w:qFormat/>
    <w:rsid w:val="008B3DD4"/>
    <w:pPr>
      <w:keepNext/>
      <w:keepLines/>
      <w:spacing w:before="360" w:after="120"/>
      <w:ind w:left="840" w:hanging="420"/>
      <w:outlineLvl w:val="1"/>
    </w:pPr>
    <w:rPr>
      <w:rFonts w:ascii="Arial" w:hAnsi="Arial"/>
      <w:b/>
      <w:bCs/>
      <w:sz w:val="30"/>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uiPriority w:val="99"/>
    <w:qFormat/>
    <w:rsid w:val="008B3DD4"/>
    <w:pPr>
      <w:spacing w:after="120"/>
      <w:ind w:leftChars="200" w:left="420"/>
    </w:pPr>
  </w:style>
  <w:style w:type="paragraph" w:styleId="20">
    <w:name w:val="Body Text First Indent 2"/>
    <w:basedOn w:val="a3"/>
    <w:uiPriority w:val="99"/>
    <w:qFormat/>
    <w:rsid w:val="008B3DD4"/>
    <w:pPr>
      <w:ind w:firstLineChars="200" w:firstLine="420"/>
    </w:pPr>
  </w:style>
  <w:style w:type="paragraph" w:customStyle="1" w:styleId="null3">
    <w:name w:val="null3"/>
    <w:basedOn w:val="a"/>
    <w:next w:val="a"/>
    <w:qFormat/>
    <w:rsid w:val="008B3DD4"/>
    <w:pPr>
      <w:wordWrap w:val="0"/>
      <w:spacing w:line="360" w:lineRule="auto"/>
    </w:pPr>
    <w:rPr>
      <w:rFonts w:ascii="宋体" w:hAnsi="宋体" w:cs="宋体" w:hint="eastAsia"/>
      <w:kern w:val="0"/>
      <w:sz w:val="24"/>
    </w:rPr>
  </w:style>
  <w:style w:type="paragraph" w:styleId="a4">
    <w:name w:val="header"/>
    <w:basedOn w:val="a"/>
    <w:link w:val="Char"/>
    <w:rsid w:val="00204C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204CAE"/>
    <w:rPr>
      <w:rFonts w:ascii="Calibri" w:eastAsia="宋体" w:hAnsi="Calibri" w:cs="Times New Roman"/>
      <w:kern w:val="2"/>
      <w:sz w:val="18"/>
      <w:szCs w:val="18"/>
    </w:rPr>
  </w:style>
  <w:style w:type="paragraph" w:styleId="a5">
    <w:name w:val="footer"/>
    <w:basedOn w:val="a"/>
    <w:link w:val="Char0"/>
    <w:rsid w:val="00204CAE"/>
    <w:pPr>
      <w:tabs>
        <w:tab w:val="center" w:pos="4153"/>
        <w:tab w:val="right" w:pos="8306"/>
      </w:tabs>
      <w:snapToGrid w:val="0"/>
      <w:jc w:val="left"/>
    </w:pPr>
    <w:rPr>
      <w:sz w:val="18"/>
      <w:szCs w:val="18"/>
    </w:rPr>
  </w:style>
  <w:style w:type="character" w:customStyle="1" w:styleId="Char0">
    <w:name w:val="页脚 Char"/>
    <w:basedOn w:val="a0"/>
    <w:link w:val="a5"/>
    <w:rsid w:val="00204CAE"/>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600</Words>
  <Characters>3426</Characters>
  <Application>Microsoft Office Word</Application>
  <DocSecurity>0</DocSecurity>
  <Lines>28</Lines>
  <Paragraphs>8</Paragraphs>
  <ScaleCrop>false</ScaleCrop>
  <Company>Microsoft</Company>
  <LinksUpToDate>false</LinksUpToDate>
  <CharactersWithSpaces>4018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深愛</dc:creator>
  <cp:lastModifiedBy>赖艺</cp:lastModifiedBy>
  <cp:revision>2</cp:revision>
  <dcterms:created xsi:type="dcterms:W3CDTF">2026-10-09T07:55:00Z</dcterms:created>
  <dcterms:modified xsi:type="dcterms:W3CDTF">2026-10-09T07:55:00Z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93C08F2382BB46EA816DA42CB7F3B22C_11</vt:lpwstr>
  </property>
  <property fmtid="{D5CDD505-2E9C-101B-9397-08002B2CF9AE}" pid="4" name="KSOTemplateDocerSaveRecord">
    <vt:lpwstr>eyJoZGlkIjoiNDIwNTdmZGI1ODNmM2Y3MDlhMGM1OWI2NzRlYTRhZjMiLCJ1c2VySWQiOiIzMDU0MTk4NTEifQ==</vt:lpwstr>
  </property>
</Properties>
</file>