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E35588">
      <w:pPr>
        <w:pStyle w:val="9"/>
        <w:keepNext w:val="0"/>
        <w:keepLines w:val="0"/>
        <w:pageBreakBefore w:val="0"/>
        <w:widowControl w:val="0"/>
        <w:kinsoku/>
        <w:wordWrap w:val="0"/>
        <w:overflowPunct/>
        <w:topLinePunct w:val="0"/>
        <w:autoSpaceDE/>
        <w:autoSpaceDN/>
        <w:bidi w:val="0"/>
        <w:adjustRightInd/>
        <w:snapToGrid/>
        <w:spacing w:before="0" w:after="0" w:line="360" w:lineRule="auto"/>
        <w:textAlignment w:val="auto"/>
        <w:outlineLvl w:val="0"/>
        <w:rPr>
          <w:rFonts w:hint="eastAsia" w:ascii="宋体" w:hAnsi="宋体" w:eastAsia="宋体" w:cs="宋体"/>
          <w:sz w:val="36"/>
          <w:szCs w:val="36"/>
        </w:rPr>
      </w:pPr>
      <w:r>
        <w:rPr>
          <w:rFonts w:hint="eastAsia" w:ascii="宋体" w:hAnsi="宋体" w:eastAsia="宋体" w:cs="宋体"/>
          <w:sz w:val="36"/>
          <w:szCs w:val="36"/>
        </w:rPr>
        <w:t>采购内容及要求</w:t>
      </w:r>
    </w:p>
    <w:p w14:paraId="200980EA">
      <w:pPr>
        <w:pStyle w:val="9"/>
        <w:keepNext w:val="0"/>
        <w:keepLines w:val="0"/>
        <w:pageBreakBefore w:val="0"/>
        <w:widowControl w:val="0"/>
        <w:kinsoku/>
        <w:wordWrap w:val="0"/>
        <w:overflowPunct/>
        <w:topLinePunct w:val="0"/>
        <w:autoSpaceDE/>
        <w:autoSpaceDN/>
        <w:bidi w:val="0"/>
        <w:adjustRightInd/>
        <w:snapToGrid/>
        <w:spacing w:before="0" w:after="0" w:line="360" w:lineRule="auto"/>
        <w:ind w:firstLine="482" w:firstLineChars="200"/>
        <w:jc w:val="left"/>
        <w:textAlignment w:val="auto"/>
        <w:outlineLvl w:val="1"/>
        <w:rPr>
          <w:rFonts w:hint="eastAsia" w:ascii="宋体" w:hAnsi="宋体" w:eastAsia="宋体" w:cs="宋体"/>
          <w:sz w:val="24"/>
          <w:szCs w:val="24"/>
        </w:rPr>
      </w:pPr>
      <w:bookmarkStart w:id="0" w:name="_Toc14358"/>
      <w:r>
        <w:rPr>
          <w:rFonts w:hint="eastAsia" w:ascii="宋体" w:hAnsi="宋体" w:eastAsia="宋体" w:cs="宋体"/>
          <w:sz w:val="24"/>
          <w:szCs w:val="24"/>
        </w:rPr>
        <w:t>一、项目概况</w:t>
      </w:r>
      <w:bookmarkEnd w:id="0"/>
    </w:p>
    <w:p w14:paraId="4418F6EC">
      <w:pPr>
        <w:pStyle w:val="26"/>
        <w:keepNext w:val="0"/>
        <w:keepLines w:val="0"/>
        <w:pageBreakBefore w:val="0"/>
        <w:widowControl w:val="0"/>
        <w:kinsoku/>
        <w:wordWrap w:val="0"/>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lang w:eastAsia="zh-CN"/>
        </w:rPr>
      </w:pPr>
      <w:bookmarkStart w:id="1" w:name="_Toc9164"/>
      <w:r>
        <w:rPr>
          <w:rFonts w:hint="eastAsia" w:ascii="宋体" w:hAnsi="宋体" w:eastAsia="宋体" w:cs="宋体"/>
          <w:sz w:val="24"/>
          <w:szCs w:val="24"/>
          <w:lang w:eastAsia="zh-CN"/>
        </w:rPr>
        <w:t>漳州市无线电管理局拟针对</w:t>
      </w:r>
      <w:r>
        <w:rPr>
          <w:rFonts w:hint="eastAsia" w:ascii="宋体" w:hAnsi="宋体" w:eastAsia="宋体" w:cs="宋体"/>
          <w:sz w:val="24"/>
          <w:szCs w:val="24"/>
          <w:highlight w:val="yellow"/>
        </w:rPr>
        <w:t>R&amp;S</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rPr>
        <w:t>ADDD557SR</w:t>
      </w:r>
      <w:r>
        <w:rPr>
          <w:rFonts w:hint="eastAsia" w:ascii="宋体" w:hAnsi="宋体" w:eastAsia="宋体" w:cs="宋体"/>
          <w:sz w:val="24"/>
          <w:szCs w:val="24"/>
          <w:lang w:eastAsia="zh-CN"/>
        </w:rPr>
        <w:t>测向天线</w:t>
      </w:r>
      <w:r>
        <w:rPr>
          <w:rFonts w:hint="eastAsia" w:ascii="宋体" w:hAnsi="宋体" w:eastAsia="宋体" w:cs="宋体"/>
          <w:sz w:val="24"/>
          <w:szCs w:val="24"/>
          <w:lang w:val="en-US" w:eastAsia="zh-CN"/>
        </w:rPr>
        <w:t>的</w:t>
      </w:r>
      <w:r>
        <w:rPr>
          <w:rFonts w:hint="eastAsia" w:ascii="宋体" w:hAnsi="宋体" w:eastAsia="宋体" w:cs="宋体"/>
          <w:sz w:val="24"/>
          <w:szCs w:val="24"/>
          <w:lang w:eastAsia="zh-CN"/>
        </w:rPr>
        <w:t>天线罩</w:t>
      </w:r>
      <w:r>
        <w:rPr>
          <w:rFonts w:hint="eastAsia" w:ascii="宋体" w:hAnsi="宋体" w:eastAsia="宋体" w:cs="宋体"/>
          <w:sz w:val="24"/>
          <w:szCs w:val="24"/>
          <w:lang w:eastAsia="zh-CN"/>
        </w:rPr>
        <w:t>故障</w:t>
      </w:r>
      <w:r>
        <w:rPr>
          <w:rFonts w:hint="eastAsia" w:ascii="宋体" w:hAnsi="宋体" w:eastAsia="宋体" w:cs="宋体"/>
          <w:sz w:val="24"/>
          <w:szCs w:val="24"/>
          <w:lang w:eastAsia="zh-CN"/>
        </w:rPr>
        <w:t>破损、龙海明发站点</w:t>
      </w:r>
      <w:r>
        <w:rPr>
          <w:rFonts w:hint="eastAsia" w:ascii="宋体" w:hAnsi="宋体" w:eastAsia="宋体" w:cs="宋体"/>
          <w:sz w:val="24"/>
          <w:szCs w:val="24"/>
          <w:lang w:val="en-US" w:eastAsia="zh-CN"/>
        </w:rPr>
        <w:t>的</w:t>
      </w:r>
      <w:r>
        <w:rPr>
          <w:rFonts w:hint="eastAsia" w:ascii="宋体" w:hAnsi="宋体" w:eastAsia="宋体" w:cs="宋体"/>
          <w:sz w:val="24"/>
          <w:szCs w:val="24"/>
          <w:lang w:eastAsia="zh-CN"/>
        </w:rPr>
        <w:t>七氟丙烷自动灭火装置控制主机故障</w:t>
      </w:r>
      <w:r>
        <w:rPr>
          <w:rFonts w:hint="eastAsia" w:ascii="宋体" w:hAnsi="宋体" w:eastAsia="宋体" w:cs="宋体"/>
          <w:sz w:val="24"/>
          <w:szCs w:val="24"/>
          <w:lang w:val="en-US" w:eastAsia="zh-CN"/>
        </w:rPr>
        <w:t>等开展维修</w:t>
      </w:r>
      <w:r>
        <w:rPr>
          <w:rFonts w:hint="eastAsia" w:ascii="宋体" w:hAnsi="宋体" w:eastAsia="宋体" w:cs="宋体"/>
          <w:sz w:val="24"/>
          <w:szCs w:val="24"/>
          <w:lang w:eastAsia="zh-CN"/>
        </w:rPr>
        <w:t>。成交供应商将承担设备故障维修、</w:t>
      </w:r>
      <w:r>
        <w:rPr>
          <w:rFonts w:hint="eastAsia" w:ascii="宋体" w:hAnsi="宋体" w:eastAsia="宋体" w:cs="宋体"/>
          <w:sz w:val="24"/>
          <w:szCs w:val="24"/>
          <w:lang w:val="en-US" w:eastAsia="zh-CN"/>
        </w:rPr>
        <w:t>二次搬运、</w:t>
      </w:r>
      <w:r>
        <w:rPr>
          <w:rFonts w:hint="eastAsia" w:ascii="宋体" w:hAnsi="宋体" w:eastAsia="宋体" w:cs="宋体"/>
          <w:sz w:val="24"/>
          <w:szCs w:val="24"/>
          <w:lang w:eastAsia="zh-CN"/>
        </w:rPr>
        <w:t>运输包装、</w:t>
      </w:r>
      <w:r>
        <w:rPr>
          <w:rFonts w:hint="eastAsia" w:ascii="宋体" w:hAnsi="宋体" w:eastAsia="宋体" w:cs="宋体"/>
          <w:sz w:val="24"/>
          <w:szCs w:val="24"/>
          <w:lang w:eastAsia="zh-CN"/>
        </w:rPr>
        <w:t>安装调试、售后保修等工作以及</w:t>
      </w:r>
      <w:r>
        <w:rPr>
          <w:rFonts w:hint="eastAsia" w:ascii="宋体" w:hAnsi="宋体" w:eastAsia="宋体" w:cs="宋体"/>
          <w:sz w:val="24"/>
          <w:szCs w:val="24"/>
          <w:lang w:val="en-US" w:eastAsia="zh-CN"/>
        </w:rPr>
        <w:t>承担</w:t>
      </w:r>
      <w:r>
        <w:rPr>
          <w:rFonts w:hint="eastAsia" w:ascii="宋体" w:hAnsi="宋体" w:eastAsia="宋体" w:cs="宋体"/>
          <w:sz w:val="24"/>
          <w:szCs w:val="24"/>
          <w:lang w:eastAsia="zh-CN"/>
        </w:rPr>
        <w:t>过程中可能产生的所有费用。具体故障情况可参见技术和服务要求中的服务列表。</w:t>
      </w:r>
    </w:p>
    <w:p w14:paraId="7B49F72C">
      <w:pPr>
        <w:pStyle w:val="9"/>
        <w:keepNext w:val="0"/>
        <w:keepLines w:val="0"/>
        <w:pageBreakBefore w:val="0"/>
        <w:widowControl w:val="0"/>
        <w:kinsoku/>
        <w:wordWrap w:val="0"/>
        <w:overflowPunct/>
        <w:topLinePunct w:val="0"/>
        <w:autoSpaceDE/>
        <w:autoSpaceDN/>
        <w:bidi w:val="0"/>
        <w:adjustRightInd/>
        <w:snapToGrid/>
        <w:spacing w:before="0" w:after="0" w:line="360" w:lineRule="auto"/>
        <w:ind w:firstLine="482" w:firstLineChars="200"/>
        <w:jc w:val="left"/>
        <w:textAlignment w:val="auto"/>
        <w:outlineLvl w:val="1"/>
        <w:rPr>
          <w:rFonts w:hint="eastAsia" w:ascii="宋体" w:hAnsi="宋体" w:eastAsia="宋体" w:cs="宋体"/>
          <w:sz w:val="24"/>
          <w:szCs w:val="24"/>
        </w:rPr>
      </w:pPr>
      <w:r>
        <w:rPr>
          <w:rFonts w:hint="eastAsia" w:ascii="宋体" w:hAnsi="宋体" w:eastAsia="宋体" w:cs="宋体"/>
          <w:sz w:val="24"/>
          <w:szCs w:val="24"/>
        </w:rPr>
        <w:t>二、</w:t>
      </w:r>
      <w:bookmarkEnd w:id="1"/>
      <w:r>
        <w:rPr>
          <w:rFonts w:hint="eastAsia" w:ascii="宋体" w:hAnsi="宋体" w:eastAsia="宋体" w:cs="宋体"/>
          <w:sz w:val="24"/>
          <w:szCs w:val="24"/>
        </w:rPr>
        <w:t>技术和服务要求</w:t>
      </w:r>
    </w:p>
    <w:p w14:paraId="634F9AF4">
      <w:pPr>
        <w:pStyle w:val="26"/>
        <w:keepNext w:val="0"/>
        <w:keepLines w:val="0"/>
        <w:pageBreakBefore w:val="0"/>
        <w:widowControl w:val="0"/>
        <w:kinsoku/>
        <w:wordWrap w:val="0"/>
        <w:overflowPunct/>
        <w:topLinePunct w:val="0"/>
        <w:autoSpaceDE/>
        <w:autoSpaceDN/>
        <w:bidi w:val="0"/>
        <w:adjustRightInd/>
        <w:snapToGrid/>
        <w:spacing w:line="360" w:lineRule="auto"/>
        <w:ind w:firstLine="480" w:firstLineChars="200"/>
        <w:jc w:val="both"/>
        <w:textAlignment w:val="auto"/>
        <w:outlineLvl w:val="2"/>
        <w:rPr>
          <w:rFonts w:hint="eastAsia" w:ascii="宋体" w:hAnsi="宋体" w:eastAsia="宋体" w:cs="宋体"/>
          <w:sz w:val="24"/>
          <w:szCs w:val="24"/>
          <w:lang w:eastAsia="zh-CN"/>
        </w:rPr>
      </w:pPr>
      <w:r>
        <w:rPr>
          <w:rFonts w:hint="eastAsia" w:ascii="宋体" w:hAnsi="宋体" w:eastAsia="宋体" w:cs="宋体"/>
          <w:sz w:val="24"/>
          <w:szCs w:val="24"/>
          <w:lang w:eastAsia="zh-CN"/>
        </w:rPr>
        <w:t>1、总体要求</w:t>
      </w:r>
    </w:p>
    <w:p w14:paraId="7FF87FEB">
      <w:pPr>
        <w:pStyle w:val="26"/>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对出现故障的技术设备进行检查和维修，使其能恢复至正常工作状态。服务内容主要包括：</w:t>
      </w:r>
    </w:p>
    <w:p w14:paraId="77FD4CA1">
      <w:pPr>
        <w:pStyle w:val="26"/>
        <w:keepNext w:val="0"/>
        <w:keepLines w:val="0"/>
        <w:pageBreakBefore w:val="0"/>
        <w:widowControl w:val="0"/>
        <w:kinsoku/>
        <w:wordWrap w:val="0"/>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（1）</w:t>
      </w:r>
      <w:r>
        <w:rPr>
          <w:rFonts w:hint="eastAsia" w:ascii="宋体" w:hAnsi="宋体" w:eastAsia="宋体" w:cs="宋体"/>
          <w:sz w:val="24"/>
          <w:szCs w:val="24"/>
          <w:highlight w:val="yellow"/>
        </w:rPr>
        <w:t>R&amp;S</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rPr>
        <w:t>ADDD557SR</w:t>
      </w:r>
      <w:r>
        <w:rPr>
          <w:rFonts w:hint="eastAsia" w:ascii="宋体" w:hAnsi="宋体" w:eastAsia="宋体" w:cs="宋体"/>
          <w:sz w:val="24"/>
          <w:szCs w:val="24"/>
          <w:lang w:eastAsia="zh-CN"/>
        </w:rPr>
        <w:t>测向天线天线罩</w:t>
      </w:r>
      <w:r>
        <w:rPr>
          <w:rFonts w:hint="eastAsia" w:ascii="宋体" w:hAnsi="宋体" w:eastAsia="宋体" w:cs="宋体"/>
          <w:sz w:val="24"/>
          <w:szCs w:val="24"/>
          <w:lang w:eastAsia="zh-CN"/>
        </w:rPr>
        <w:t>，需维修并进行整机功能性测试；</w:t>
      </w:r>
    </w:p>
    <w:p w14:paraId="7F6F5887">
      <w:pPr>
        <w:pStyle w:val="26"/>
        <w:keepNext w:val="0"/>
        <w:keepLines w:val="0"/>
        <w:pageBreakBefore w:val="0"/>
        <w:widowControl w:val="0"/>
        <w:kinsoku/>
        <w:wordWrap w:val="0"/>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（2）龙海明发站点</w:t>
      </w:r>
      <w:r>
        <w:rPr>
          <w:rFonts w:hint="eastAsia" w:ascii="宋体" w:hAnsi="宋体" w:eastAsia="宋体" w:cs="宋体"/>
          <w:sz w:val="24"/>
          <w:szCs w:val="24"/>
          <w:lang w:eastAsia="zh-CN"/>
        </w:rPr>
        <w:t>七氟丙烷自动灭火装置控制主机故障</w:t>
      </w:r>
      <w:r>
        <w:rPr>
          <w:rFonts w:hint="eastAsia" w:ascii="宋体" w:hAnsi="宋体" w:eastAsia="宋体" w:cs="宋体"/>
          <w:sz w:val="24"/>
          <w:szCs w:val="24"/>
          <w:lang w:eastAsia="zh-CN"/>
        </w:rPr>
        <w:t>，</w:t>
      </w:r>
      <w:r>
        <w:rPr>
          <w:rFonts w:hint="eastAsia" w:ascii="宋体" w:hAnsi="宋体" w:eastAsia="宋体" w:cs="宋体"/>
          <w:sz w:val="24"/>
          <w:szCs w:val="24"/>
          <w:lang w:eastAsia="zh-CN"/>
        </w:rPr>
        <w:t>主板及</w:t>
      </w:r>
      <w:r>
        <w:rPr>
          <w:rFonts w:hint="eastAsia" w:ascii="宋体" w:hAnsi="宋体" w:eastAsia="宋体" w:cs="宋体"/>
          <w:sz w:val="24"/>
          <w:szCs w:val="24"/>
          <w:lang w:eastAsia="zh-CN"/>
        </w:rPr>
        <w:t>控制线路</w:t>
      </w:r>
      <w:r>
        <w:rPr>
          <w:rFonts w:hint="eastAsia" w:ascii="宋体" w:hAnsi="宋体" w:eastAsia="宋体" w:cs="宋体"/>
          <w:sz w:val="24"/>
          <w:szCs w:val="24"/>
          <w:lang w:eastAsia="zh-CN"/>
        </w:rPr>
        <w:t>维修</w:t>
      </w:r>
      <w:r>
        <w:rPr>
          <w:rFonts w:hint="eastAsia" w:ascii="宋体" w:hAnsi="宋体" w:eastAsia="宋体" w:cs="宋体"/>
          <w:sz w:val="24"/>
          <w:szCs w:val="24"/>
          <w:lang w:eastAsia="zh-CN"/>
        </w:rPr>
        <w:t>需维修并进行整机功能性测试。</w:t>
      </w:r>
    </w:p>
    <w:p w14:paraId="07523FDF">
      <w:pPr>
        <w:pStyle w:val="26"/>
        <w:keepNext w:val="0"/>
        <w:keepLines w:val="0"/>
        <w:pageBreakBefore w:val="0"/>
        <w:widowControl w:val="0"/>
        <w:kinsoku/>
        <w:wordWrap w:val="0"/>
        <w:overflowPunct/>
        <w:topLinePunct w:val="0"/>
        <w:autoSpaceDE/>
        <w:autoSpaceDN/>
        <w:bidi w:val="0"/>
        <w:adjustRightInd/>
        <w:snapToGrid/>
        <w:spacing w:line="360" w:lineRule="auto"/>
        <w:ind w:firstLine="480" w:firstLineChars="200"/>
        <w:jc w:val="both"/>
        <w:textAlignment w:val="auto"/>
        <w:outlineLvl w:val="2"/>
        <w:rPr>
          <w:rFonts w:hint="eastAsia" w:ascii="宋体" w:hAnsi="宋体" w:eastAsia="宋体" w:cs="宋体"/>
          <w:sz w:val="24"/>
          <w:szCs w:val="24"/>
          <w:lang w:eastAsia="zh-CN"/>
        </w:rPr>
      </w:pPr>
      <w:r>
        <w:rPr>
          <w:rFonts w:hint="eastAsia" w:ascii="宋体" w:hAnsi="宋体" w:eastAsia="宋体" w:cs="宋体"/>
          <w:sz w:val="24"/>
          <w:szCs w:val="24"/>
          <w:lang w:eastAsia="zh-CN"/>
        </w:rPr>
        <w:t>2、详细维修内容及服务列表</w:t>
      </w:r>
    </w:p>
    <w:tbl>
      <w:tblPr>
        <w:tblStyle w:val="12"/>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70"/>
        <w:gridCol w:w="2969"/>
        <w:gridCol w:w="559"/>
        <w:gridCol w:w="1427"/>
        <w:gridCol w:w="2688"/>
      </w:tblGrid>
      <w:tr w14:paraId="3A69C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03" w:type="pct"/>
            <w:vAlign w:val="center"/>
          </w:tcPr>
          <w:p w14:paraId="6B62B9EA">
            <w:pPr>
              <w:pStyle w:val="26"/>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hint="eastAsia" w:ascii="宋体" w:hAnsi="宋体" w:cs="宋体"/>
                <w:sz w:val="24"/>
                <w:szCs w:val="24"/>
                <w:vertAlign w:val="baseline"/>
                <w:lang w:val="en-US" w:eastAsia="zh-CN"/>
              </w:rPr>
            </w:pPr>
            <w:r>
              <w:rPr>
                <w:rFonts w:hint="eastAsia" w:ascii="宋体" w:hAnsi="宋体" w:eastAsia="宋体" w:cs="宋体"/>
                <w:sz w:val="24"/>
                <w:szCs w:val="24"/>
              </w:rPr>
              <w:t>序号</w:t>
            </w:r>
          </w:p>
        </w:tc>
        <w:tc>
          <w:tcPr>
            <w:tcW w:w="1785" w:type="pct"/>
            <w:vAlign w:val="center"/>
          </w:tcPr>
          <w:p w14:paraId="182B90CD">
            <w:pPr>
              <w:pStyle w:val="26"/>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hint="eastAsia" w:ascii="宋体" w:hAnsi="宋体" w:cs="宋体"/>
                <w:sz w:val="24"/>
                <w:szCs w:val="24"/>
                <w:vertAlign w:val="baseline"/>
                <w:lang w:val="en-US" w:eastAsia="zh-CN"/>
              </w:rPr>
            </w:pPr>
            <w:r>
              <w:rPr>
                <w:rFonts w:hint="eastAsia" w:ascii="宋体" w:hAnsi="宋体" w:eastAsia="宋体" w:cs="宋体"/>
                <w:sz w:val="24"/>
                <w:szCs w:val="24"/>
              </w:rPr>
              <w:t>设备名称</w:t>
            </w:r>
          </w:p>
        </w:tc>
        <w:tc>
          <w:tcPr>
            <w:tcW w:w="336" w:type="pct"/>
            <w:vAlign w:val="center"/>
          </w:tcPr>
          <w:p w14:paraId="0B9010D0">
            <w:pPr>
              <w:pStyle w:val="26"/>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hint="eastAsia" w:ascii="宋体" w:hAnsi="宋体" w:cs="宋体"/>
                <w:sz w:val="24"/>
                <w:szCs w:val="24"/>
                <w:vertAlign w:val="baseline"/>
                <w:lang w:val="en-US" w:eastAsia="zh-CN"/>
              </w:rPr>
            </w:pPr>
            <w:r>
              <w:rPr>
                <w:rFonts w:hint="eastAsia" w:ascii="宋体" w:hAnsi="宋体" w:eastAsia="宋体" w:cs="宋体"/>
                <w:sz w:val="24"/>
                <w:szCs w:val="24"/>
              </w:rPr>
              <w:t>数量</w:t>
            </w:r>
          </w:p>
        </w:tc>
        <w:tc>
          <w:tcPr>
            <w:tcW w:w="858" w:type="pct"/>
            <w:vAlign w:val="center"/>
          </w:tcPr>
          <w:p w14:paraId="0D42F9D7">
            <w:pPr>
              <w:pStyle w:val="26"/>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hint="eastAsia" w:ascii="宋体" w:hAnsi="宋体" w:cs="宋体"/>
                <w:sz w:val="24"/>
                <w:szCs w:val="24"/>
                <w:vertAlign w:val="baseline"/>
                <w:lang w:val="en-US" w:eastAsia="zh-CN"/>
              </w:rPr>
            </w:pPr>
            <w:r>
              <w:rPr>
                <w:rFonts w:hint="eastAsia" w:ascii="宋体" w:hAnsi="宋体" w:eastAsia="宋体" w:cs="宋体"/>
                <w:sz w:val="24"/>
                <w:szCs w:val="24"/>
                <w:highlight w:val="yellow"/>
              </w:rPr>
              <w:t>原厂家</w:t>
            </w:r>
          </w:p>
        </w:tc>
        <w:tc>
          <w:tcPr>
            <w:tcW w:w="1616" w:type="pct"/>
            <w:vAlign w:val="center"/>
          </w:tcPr>
          <w:p w14:paraId="753EAB19">
            <w:pPr>
              <w:pStyle w:val="26"/>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hint="eastAsia" w:ascii="宋体" w:hAnsi="宋体" w:cs="宋体"/>
                <w:sz w:val="24"/>
                <w:szCs w:val="24"/>
                <w:vertAlign w:val="baseline"/>
                <w:lang w:val="en-US" w:eastAsia="zh-CN"/>
              </w:rPr>
            </w:pPr>
            <w:r>
              <w:rPr>
                <w:rFonts w:hint="eastAsia" w:ascii="宋体" w:hAnsi="宋体" w:eastAsia="宋体" w:cs="宋体"/>
                <w:sz w:val="24"/>
                <w:szCs w:val="24"/>
              </w:rPr>
              <w:t>服务内容</w:t>
            </w:r>
          </w:p>
        </w:tc>
      </w:tr>
      <w:tr w14:paraId="3AEE5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03" w:type="pct"/>
            <w:vMerge w:val="restart"/>
            <w:vAlign w:val="center"/>
          </w:tcPr>
          <w:p w14:paraId="0F8B1018">
            <w:pPr>
              <w:pStyle w:val="26"/>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hint="eastAsia" w:ascii="宋体" w:hAnsi="宋体" w:cs="宋体"/>
                <w:sz w:val="24"/>
                <w:szCs w:val="24"/>
                <w:vertAlign w:val="baseline"/>
                <w:lang w:val="en-US" w:eastAsia="zh-CN"/>
              </w:rPr>
            </w:pPr>
            <w:r>
              <w:rPr>
                <w:rFonts w:hint="eastAsia" w:ascii="宋体" w:hAnsi="宋体" w:eastAsia="宋体" w:cs="宋体"/>
                <w:sz w:val="24"/>
                <w:szCs w:val="24"/>
              </w:rPr>
              <w:t>（1）</w:t>
            </w:r>
          </w:p>
        </w:tc>
        <w:tc>
          <w:tcPr>
            <w:tcW w:w="1785" w:type="pct"/>
            <w:vMerge w:val="restart"/>
            <w:vAlign w:val="center"/>
          </w:tcPr>
          <w:p w14:paraId="48B7EC4D">
            <w:pPr>
              <w:pStyle w:val="26"/>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hint="eastAsia" w:ascii="宋体" w:hAnsi="宋体" w:cs="宋体"/>
                <w:sz w:val="24"/>
                <w:szCs w:val="24"/>
                <w:vertAlign w:val="baseline"/>
                <w:lang w:val="en-US" w:eastAsia="zh-CN"/>
              </w:rPr>
            </w:pPr>
            <w:r>
              <w:rPr>
                <w:rFonts w:hint="eastAsia" w:ascii="宋体" w:hAnsi="宋体" w:eastAsia="宋体" w:cs="宋体"/>
                <w:sz w:val="24"/>
                <w:szCs w:val="24"/>
                <w:highlight w:val="yellow"/>
              </w:rPr>
              <w:t>R&amp;S</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rPr>
              <w:t>ADDD557SR</w:t>
            </w:r>
            <w:r>
              <w:rPr>
                <w:rFonts w:hint="eastAsia" w:ascii="宋体" w:hAnsi="宋体" w:eastAsia="宋体" w:cs="宋体"/>
                <w:sz w:val="24"/>
                <w:szCs w:val="24"/>
                <w:lang w:eastAsia="zh-CN"/>
              </w:rPr>
              <w:t>测向天线天线罩</w:t>
            </w:r>
          </w:p>
        </w:tc>
        <w:tc>
          <w:tcPr>
            <w:tcW w:w="336" w:type="pct"/>
            <w:vMerge w:val="restart"/>
            <w:vAlign w:val="center"/>
          </w:tcPr>
          <w:p w14:paraId="33080782">
            <w:pPr>
              <w:pStyle w:val="26"/>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hint="eastAsia" w:ascii="宋体" w:hAnsi="宋体" w:cs="宋体"/>
                <w:sz w:val="24"/>
                <w:szCs w:val="24"/>
                <w:vertAlign w:val="baseline"/>
                <w:lang w:val="en-US" w:eastAsia="zh-CN"/>
              </w:rPr>
            </w:pPr>
            <w:r>
              <w:rPr>
                <w:rFonts w:hint="eastAsia" w:ascii="宋体" w:hAnsi="宋体" w:eastAsia="宋体" w:cs="宋体"/>
                <w:sz w:val="24"/>
                <w:szCs w:val="24"/>
              </w:rPr>
              <w:t>1台</w:t>
            </w:r>
          </w:p>
        </w:tc>
        <w:tc>
          <w:tcPr>
            <w:tcW w:w="858" w:type="pct"/>
            <w:vMerge w:val="restart"/>
            <w:vAlign w:val="center"/>
          </w:tcPr>
          <w:p w14:paraId="7E366480">
            <w:pPr>
              <w:pStyle w:val="26"/>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hint="eastAsia" w:ascii="宋体" w:hAnsi="宋体" w:cs="宋体"/>
                <w:sz w:val="24"/>
                <w:szCs w:val="24"/>
                <w:vertAlign w:val="baseline"/>
                <w:lang w:val="en-US" w:eastAsia="zh-CN"/>
              </w:rPr>
            </w:pPr>
            <w:r>
              <w:rPr>
                <w:rFonts w:hint="eastAsia" w:ascii="宋体" w:hAnsi="宋体" w:eastAsia="宋体" w:cs="宋体"/>
                <w:sz w:val="24"/>
                <w:szCs w:val="24"/>
                <w:highlight w:val="yellow"/>
              </w:rPr>
              <w:t>R&amp;S</w:t>
            </w:r>
          </w:p>
        </w:tc>
        <w:tc>
          <w:tcPr>
            <w:tcW w:w="1616" w:type="pct"/>
            <w:vAlign w:val="center"/>
          </w:tcPr>
          <w:p w14:paraId="6171D6A4">
            <w:pPr>
              <w:pStyle w:val="26"/>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hint="eastAsia" w:ascii="宋体" w:hAnsi="宋体" w:cs="宋体"/>
                <w:sz w:val="24"/>
                <w:szCs w:val="24"/>
                <w:vertAlign w:val="baseline"/>
                <w:lang w:val="en-US" w:eastAsia="zh-CN"/>
              </w:rPr>
            </w:pPr>
            <w:r>
              <w:rPr>
                <w:rFonts w:hint="eastAsia" w:ascii="宋体" w:hAnsi="宋体" w:eastAsia="宋体" w:cs="宋体"/>
                <w:sz w:val="24"/>
                <w:szCs w:val="24"/>
              </w:rPr>
              <w:t>模块损坏故障维修</w:t>
            </w:r>
          </w:p>
        </w:tc>
      </w:tr>
      <w:tr w14:paraId="29382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03" w:type="pct"/>
            <w:vMerge w:val="continue"/>
            <w:tcBorders/>
            <w:vAlign w:val="center"/>
          </w:tcPr>
          <w:p w14:paraId="15FFD726">
            <w:pPr>
              <w:pStyle w:val="26"/>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hint="eastAsia" w:ascii="宋体" w:hAnsi="宋体" w:cs="宋体"/>
                <w:sz w:val="24"/>
                <w:szCs w:val="24"/>
                <w:vertAlign w:val="baseline"/>
                <w:lang w:val="en-US" w:eastAsia="zh-CN"/>
              </w:rPr>
            </w:pPr>
          </w:p>
        </w:tc>
        <w:tc>
          <w:tcPr>
            <w:tcW w:w="1785" w:type="pct"/>
            <w:vMerge w:val="continue"/>
            <w:tcBorders/>
            <w:vAlign w:val="center"/>
          </w:tcPr>
          <w:p w14:paraId="22E45DA5">
            <w:pPr>
              <w:pStyle w:val="26"/>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hint="eastAsia" w:ascii="宋体" w:hAnsi="宋体" w:cs="宋体"/>
                <w:sz w:val="24"/>
                <w:szCs w:val="24"/>
                <w:vertAlign w:val="baseline"/>
                <w:lang w:val="en-US" w:eastAsia="zh-CN"/>
              </w:rPr>
            </w:pPr>
          </w:p>
        </w:tc>
        <w:tc>
          <w:tcPr>
            <w:tcW w:w="336" w:type="pct"/>
            <w:vMerge w:val="continue"/>
            <w:tcBorders/>
            <w:vAlign w:val="center"/>
          </w:tcPr>
          <w:p w14:paraId="4E8DAF9C">
            <w:pPr>
              <w:pStyle w:val="26"/>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hint="eastAsia" w:ascii="宋体" w:hAnsi="宋体" w:cs="宋体"/>
                <w:sz w:val="24"/>
                <w:szCs w:val="24"/>
                <w:vertAlign w:val="baseline"/>
                <w:lang w:val="en-US" w:eastAsia="zh-CN"/>
              </w:rPr>
            </w:pPr>
          </w:p>
        </w:tc>
        <w:tc>
          <w:tcPr>
            <w:tcW w:w="858" w:type="pct"/>
            <w:vMerge w:val="continue"/>
            <w:tcBorders/>
            <w:vAlign w:val="center"/>
          </w:tcPr>
          <w:p w14:paraId="4D8296AC">
            <w:pPr>
              <w:pStyle w:val="26"/>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hint="eastAsia" w:ascii="宋体" w:hAnsi="宋体" w:cs="宋体"/>
                <w:sz w:val="24"/>
                <w:szCs w:val="24"/>
                <w:vertAlign w:val="baseline"/>
                <w:lang w:val="en-US" w:eastAsia="zh-CN"/>
              </w:rPr>
            </w:pPr>
          </w:p>
        </w:tc>
        <w:tc>
          <w:tcPr>
            <w:tcW w:w="1616" w:type="pct"/>
            <w:vAlign w:val="center"/>
          </w:tcPr>
          <w:p w14:paraId="13F00DC5">
            <w:pPr>
              <w:pStyle w:val="26"/>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hint="eastAsia" w:ascii="宋体" w:hAnsi="宋体" w:cs="宋体"/>
                <w:sz w:val="24"/>
                <w:szCs w:val="24"/>
                <w:vertAlign w:val="baseline"/>
                <w:lang w:val="en-US" w:eastAsia="zh-CN"/>
              </w:rPr>
            </w:pPr>
            <w:r>
              <w:rPr>
                <w:rFonts w:hint="eastAsia" w:ascii="宋体" w:hAnsi="宋体" w:eastAsia="宋体" w:cs="宋体"/>
                <w:sz w:val="24"/>
                <w:szCs w:val="24"/>
              </w:rPr>
              <w:t>设备整机功能性测试</w:t>
            </w:r>
          </w:p>
        </w:tc>
      </w:tr>
      <w:tr w14:paraId="4CDFA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03" w:type="pct"/>
            <w:vMerge w:val="restart"/>
            <w:vAlign w:val="center"/>
          </w:tcPr>
          <w:p w14:paraId="4905F669">
            <w:pPr>
              <w:pStyle w:val="26"/>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hint="eastAsia" w:ascii="宋体" w:hAnsi="宋体" w:cs="宋体"/>
                <w:sz w:val="24"/>
                <w:szCs w:val="24"/>
                <w:vertAlign w:val="baseline"/>
                <w:lang w:val="en-US" w:eastAsia="zh-CN"/>
              </w:rPr>
            </w:pPr>
            <w:r>
              <w:rPr>
                <w:rFonts w:hint="eastAsia" w:ascii="宋体" w:hAnsi="宋体" w:eastAsia="宋体" w:cs="宋体"/>
                <w:sz w:val="24"/>
                <w:szCs w:val="24"/>
              </w:rPr>
              <w:t>（2）</w:t>
            </w:r>
          </w:p>
        </w:tc>
        <w:tc>
          <w:tcPr>
            <w:tcW w:w="1785" w:type="pct"/>
            <w:vMerge w:val="restart"/>
            <w:vAlign w:val="center"/>
          </w:tcPr>
          <w:p w14:paraId="53ACD255">
            <w:pPr>
              <w:pStyle w:val="26"/>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hint="eastAsia" w:ascii="宋体" w:hAnsi="宋体" w:cs="宋体"/>
                <w:sz w:val="24"/>
                <w:szCs w:val="24"/>
                <w:vertAlign w:val="baseline"/>
                <w:lang w:val="en-US" w:eastAsia="zh-CN"/>
              </w:rPr>
            </w:pPr>
            <w:r>
              <w:rPr>
                <w:rFonts w:hint="eastAsia" w:ascii="宋体" w:hAnsi="宋体" w:eastAsia="宋体" w:cs="宋体"/>
                <w:sz w:val="24"/>
                <w:szCs w:val="24"/>
                <w:lang w:eastAsia="zh-CN"/>
              </w:rPr>
              <w:t>龙海明发站点七氟丙烷自动灭火装置控制主机故障</w:t>
            </w:r>
          </w:p>
        </w:tc>
        <w:tc>
          <w:tcPr>
            <w:tcW w:w="336" w:type="pct"/>
            <w:vMerge w:val="restart"/>
            <w:vAlign w:val="center"/>
          </w:tcPr>
          <w:p w14:paraId="34398478">
            <w:pPr>
              <w:pStyle w:val="26"/>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hint="eastAsia" w:ascii="宋体" w:hAnsi="宋体" w:cs="宋体"/>
                <w:sz w:val="24"/>
                <w:szCs w:val="24"/>
                <w:vertAlign w:val="baseline"/>
                <w:lang w:val="en-US" w:eastAsia="zh-CN"/>
              </w:rPr>
            </w:pPr>
            <w:r>
              <w:rPr>
                <w:rFonts w:hint="eastAsia" w:ascii="宋体" w:hAnsi="宋体" w:eastAsia="宋体" w:cs="宋体"/>
                <w:sz w:val="24"/>
                <w:szCs w:val="24"/>
              </w:rPr>
              <w:t>1台</w:t>
            </w:r>
          </w:p>
        </w:tc>
        <w:tc>
          <w:tcPr>
            <w:tcW w:w="858" w:type="pct"/>
            <w:vMerge w:val="restart"/>
            <w:vAlign w:val="center"/>
          </w:tcPr>
          <w:p w14:paraId="2CB26A4A">
            <w:pPr>
              <w:pStyle w:val="26"/>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hint="eastAsia" w:ascii="宋体" w:hAnsi="宋体" w:cs="宋体"/>
                <w:sz w:val="24"/>
                <w:szCs w:val="24"/>
                <w:vertAlign w:val="baseline"/>
                <w:lang w:val="en-US" w:eastAsia="zh-CN"/>
              </w:rPr>
            </w:pPr>
            <w:r>
              <w:rPr>
                <w:rFonts w:hint="eastAsia" w:ascii="宋体" w:hAnsi="宋体" w:eastAsia="宋体" w:cs="宋体"/>
                <w:sz w:val="24"/>
                <w:szCs w:val="24"/>
                <w:highlight w:val="yellow"/>
                <w:lang w:eastAsia="zh-CN"/>
              </w:rPr>
              <w:t>海湾安全技术有限公司</w:t>
            </w:r>
          </w:p>
        </w:tc>
        <w:tc>
          <w:tcPr>
            <w:tcW w:w="1616" w:type="pct"/>
            <w:vAlign w:val="center"/>
          </w:tcPr>
          <w:p w14:paraId="702E90C0">
            <w:pPr>
              <w:pStyle w:val="26"/>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hint="eastAsia" w:ascii="宋体" w:hAnsi="宋体" w:cs="宋体"/>
                <w:sz w:val="24"/>
                <w:szCs w:val="24"/>
                <w:vertAlign w:val="baseline"/>
                <w:lang w:val="en-US" w:eastAsia="zh-CN"/>
              </w:rPr>
            </w:pPr>
            <w:r>
              <w:rPr>
                <w:rFonts w:hint="eastAsia" w:ascii="宋体" w:hAnsi="宋体" w:eastAsia="宋体" w:cs="宋体"/>
                <w:sz w:val="24"/>
                <w:szCs w:val="24"/>
              </w:rPr>
              <w:t>模块故障维修</w:t>
            </w:r>
          </w:p>
        </w:tc>
      </w:tr>
      <w:tr w14:paraId="53D0D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03" w:type="pct"/>
            <w:vMerge w:val="continue"/>
            <w:tcBorders/>
            <w:vAlign w:val="center"/>
          </w:tcPr>
          <w:p w14:paraId="524CA6BD">
            <w:pPr>
              <w:pStyle w:val="26"/>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hint="eastAsia" w:ascii="宋体" w:hAnsi="宋体" w:cs="宋体"/>
                <w:sz w:val="24"/>
                <w:szCs w:val="24"/>
                <w:vertAlign w:val="baseline"/>
                <w:lang w:val="en-US" w:eastAsia="zh-CN"/>
              </w:rPr>
            </w:pPr>
          </w:p>
        </w:tc>
        <w:tc>
          <w:tcPr>
            <w:tcW w:w="1785" w:type="pct"/>
            <w:vMerge w:val="continue"/>
            <w:tcBorders/>
            <w:vAlign w:val="center"/>
          </w:tcPr>
          <w:p w14:paraId="622CAF86">
            <w:pPr>
              <w:pStyle w:val="26"/>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hint="eastAsia" w:ascii="宋体" w:hAnsi="宋体" w:cs="宋体"/>
                <w:sz w:val="24"/>
                <w:szCs w:val="24"/>
                <w:vertAlign w:val="baseline"/>
                <w:lang w:val="en-US" w:eastAsia="zh-CN"/>
              </w:rPr>
            </w:pPr>
          </w:p>
        </w:tc>
        <w:tc>
          <w:tcPr>
            <w:tcW w:w="336" w:type="pct"/>
            <w:vMerge w:val="continue"/>
            <w:tcBorders/>
            <w:vAlign w:val="center"/>
          </w:tcPr>
          <w:p w14:paraId="00276B48">
            <w:pPr>
              <w:pStyle w:val="26"/>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hint="eastAsia" w:ascii="宋体" w:hAnsi="宋体" w:cs="宋体"/>
                <w:sz w:val="24"/>
                <w:szCs w:val="24"/>
                <w:vertAlign w:val="baseline"/>
                <w:lang w:val="en-US" w:eastAsia="zh-CN"/>
              </w:rPr>
            </w:pPr>
          </w:p>
        </w:tc>
        <w:tc>
          <w:tcPr>
            <w:tcW w:w="858" w:type="pct"/>
            <w:vMerge w:val="continue"/>
            <w:tcBorders/>
            <w:vAlign w:val="center"/>
          </w:tcPr>
          <w:p w14:paraId="05544FA9">
            <w:pPr>
              <w:pStyle w:val="26"/>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hint="eastAsia" w:ascii="宋体" w:hAnsi="宋体" w:cs="宋体"/>
                <w:sz w:val="24"/>
                <w:szCs w:val="24"/>
                <w:vertAlign w:val="baseline"/>
                <w:lang w:val="en-US" w:eastAsia="zh-CN"/>
              </w:rPr>
            </w:pPr>
          </w:p>
        </w:tc>
        <w:tc>
          <w:tcPr>
            <w:tcW w:w="1616" w:type="pct"/>
            <w:vAlign w:val="center"/>
          </w:tcPr>
          <w:p w14:paraId="6FFA54E7">
            <w:pPr>
              <w:pStyle w:val="26"/>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hint="eastAsia" w:ascii="宋体" w:hAnsi="宋体" w:cs="宋体"/>
                <w:sz w:val="24"/>
                <w:szCs w:val="24"/>
                <w:vertAlign w:val="baseline"/>
                <w:lang w:val="en-US" w:eastAsia="zh-CN"/>
              </w:rPr>
            </w:pPr>
            <w:r>
              <w:rPr>
                <w:rFonts w:hint="eastAsia" w:ascii="宋体" w:hAnsi="宋体" w:eastAsia="宋体" w:cs="宋体"/>
                <w:sz w:val="24"/>
                <w:szCs w:val="24"/>
              </w:rPr>
              <w:t>设备整机功能性测试</w:t>
            </w:r>
          </w:p>
        </w:tc>
      </w:tr>
    </w:tbl>
    <w:p w14:paraId="0F662C98">
      <w:pPr>
        <w:pStyle w:val="9"/>
        <w:keepNext w:val="0"/>
        <w:keepLines w:val="0"/>
        <w:pageBreakBefore w:val="0"/>
        <w:widowControl w:val="0"/>
        <w:kinsoku/>
        <w:wordWrap w:val="0"/>
        <w:overflowPunct/>
        <w:topLinePunct w:val="0"/>
        <w:autoSpaceDE/>
        <w:autoSpaceDN/>
        <w:bidi w:val="0"/>
        <w:adjustRightInd/>
        <w:snapToGrid/>
        <w:spacing w:before="0" w:after="0" w:line="360" w:lineRule="auto"/>
        <w:ind w:firstLine="482" w:firstLineChars="200"/>
        <w:jc w:val="left"/>
        <w:textAlignment w:val="auto"/>
        <w:outlineLvl w:val="1"/>
        <w:rPr>
          <w:rFonts w:hint="eastAsia" w:ascii="宋体" w:hAnsi="宋体" w:eastAsia="宋体" w:cs="宋体"/>
          <w:sz w:val="24"/>
          <w:szCs w:val="24"/>
          <w:lang w:eastAsia="zh-CN"/>
        </w:rPr>
      </w:pPr>
      <w:r>
        <w:rPr>
          <w:rFonts w:hint="eastAsia" w:ascii="宋体" w:hAnsi="宋体" w:cs="宋体"/>
          <w:sz w:val="24"/>
          <w:szCs w:val="24"/>
          <w:lang w:val="en-US" w:eastAsia="zh-CN"/>
        </w:rPr>
        <w:t>三</w:t>
      </w:r>
      <w:r>
        <w:rPr>
          <w:rFonts w:hint="eastAsia" w:ascii="宋体" w:hAnsi="宋体" w:eastAsia="宋体" w:cs="宋体"/>
          <w:sz w:val="24"/>
          <w:szCs w:val="24"/>
        </w:rPr>
        <w:t>、</w:t>
      </w:r>
      <w:r>
        <w:rPr>
          <w:rFonts w:hint="eastAsia" w:ascii="宋体" w:hAnsi="宋体" w:cs="宋体"/>
          <w:sz w:val="24"/>
          <w:szCs w:val="24"/>
          <w:lang w:val="en-US" w:eastAsia="zh-CN"/>
        </w:rPr>
        <w:t>商务条件</w:t>
      </w:r>
    </w:p>
    <w:p w14:paraId="73C3BFF0">
      <w:pPr>
        <w:pStyle w:val="26"/>
        <w:keepNext w:val="0"/>
        <w:keepLines w:val="0"/>
        <w:pageBreakBefore w:val="0"/>
        <w:widowControl w:val="0"/>
        <w:kinsoku/>
        <w:wordWrap w:val="0"/>
        <w:overflowPunct/>
        <w:topLinePunct w:val="0"/>
        <w:autoSpaceDE/>
        <w:autoSpaceDN/>
        <w:bidi w:val="0"/>
        <w:adjustRightInd/>
        <w:snapToGrid/>
        <w:spacing w:line="360" w:lineRule="auto"/>
        <w:ind w:firstLine="480" w:firstLineChars="200"/>
        <w:jc w:val="both"/>
        <w:textAlignment w:val="auto"/>
        <w:outlineLvl w:val="2"/>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、项目完成期及维修地点</w:t>
      </w:r>
    </w:p>
    <w:p w14:paraId="37A74F00">
      <w:pPr>
        <w:pStyle w:val="26"/>
        <w:keepNext w:val="0"/>
        <w:keepLines w:val="0"/>
        <w:pageBreakBefore w:val="0"/>
        <w:widowControl w:val="0"/>
        <w:kinsoku/>
        <w:wordWrap w:val="0"/>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（1）交接地点：由采购人指定，成交供应商需按要求送至指定地点；</w:t>
      </w:r>
    </w:p>
    <w:p w14:paraId="288E93BC">
      <w:pPr>
        <w:pStyle w:val="26"/>
        <w:keepNext w:val="0"/>
        <w:keepLines w:val="0"/>
        <w:pageBreakBefore w:val="0"/>
        <w:widowControl w:val="0"/>
        <w:kinsoku/>
        <w:wordWrap w:val="0"/>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（2）交接方式：现场交接；</w:t>
      </w:r>
    </w:p>
    <w:p w14:paraId="00C659E2">
      <w:pPr>
        <w:pStyle w:val="26"/>
        <w:keepNext w:val="0"/>
        <w:keepLines w:val="0"/>
        <w:pageBreakBefore w:val="0"/>
        <w:widowControl w:val="0"/>
        <w:kinsoku/>
        <w:wordWrap w:val="0"/>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3）项目完成期：成交供应商应在合同签订后60日内将设备维修调试检测完毕提交给采购人，采购人收到设备后将对设备品牌型号及数量进行点验确认，确认无误后供应商应完成设备现场安装自检，安装自检完成后设备转入试运行，试运行结束后供应商应向采购人申请验收。</w:t>
      </w:r>
    </w:p>
    <w:p w14:paraId="579FC674">
      <w:pPr>
        <w:pStyle w:val="26"/>
        <w:keepNext w:val="0"/>
        <w:keepLines w:val="0"/>
        <w:pageBreakBefore w:val="0"/>
        <w:widowControl w:val="0"/>
        <w:kinsoku/>
        <w:wordWrap w:val="0"/>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eastAsia="zh-CN"/>
        </w:rPr>
        <w:t>4</w:t>
      </w:r>
      <w:r>
        <w:rPr>
          <w:rFonts w:hint="eastAsia" w:ascii="宋体" w:hAnsi="宋体" w:eastAsia="宋体" w:cs="宋体"/>
          <w:sz w:val="24"/>
          <w:szCs w:val="24"/>
        </w:rPr>
        <w:t>）运输方式：相关货物包装必须满足实际运输要求，包装方式的确定及包装运输费用均由成交供应商承担；由于不适当的包装而造成货物在运输过程中有任何损坏均由成交供应商负责。</w:t>
      </w:r>
    </w:p>
    <w:p w14:paraId="278D3CA3">
      <w:pPr>
        <w:pStyle w:val="26"/>
        <w:keepNext w:val="0"/>
        <w:keepLines w:val="0"/>
        <w:pageBreakBefore w:val="0"/>
        <w:widowControl w:val="0"/>
        <w:kinsoku/>
        <w:wordWrap w:val="0"/>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注：包装应足以承受整个过程中的运输、转运、装卸、储存等，充分考虑到运输途中的各种情况(如暴露于恶劣气候等)和项目所在地的气候特点，以及露天存放的需要。</w:t>
      </w:r>
    </w:p>
    <w:p w14:paraId="705C13A7">
      <w:pPr>
        <w:pStyle w:val="26"/>
        <w:keepNext w:val="0"/>
        <w:keepLines w:val="0"/>
        <w:pageBreakBefore w:val="0"/>
        <w:widowControl w:val="0"/>
        <w:kinsoku/>
        <w:wordWrap w:val="0"/>
        <w:overflowPunct/>
        <w:topLinePunct w:val="0"/>
        <w:autoSpaceDE/>
        <w:autoSpaceDN/>
        <w:bidi w:val="0"/>
        <w:adjustRightInd/>
        <w:snapToGrid/>
        <w:spacing w:line="360" w:lineRule="auto"/>
        <w:ind w:firstLine="480" w:firstLineChars="200"/>
        <w:jc w:val="both"/>
        <w:textAlignment w:val="auto"/>
        <w:outlineLvl w:val="2"/>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、验收条件</w:t>
      </w:r>
    </w:p>
    <w:p w14:paraId="176AD0BA">
      <w:pPr>
        <w:pStyle w:val="26"/>
        <w:keepNext w:val="0"/>
        <w:keepLines w:val="0"/>
        <w:pageBreakBefore w:val="0"/>
        <w:widowControl w:val="0"/>
        <w:kinsoku/>
        <w:wordWrap w:val="0"/>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（1）验收依据：采购文件、成交供应商</w:t>
      </w:r>
      <w:r>
        <w:rPr>
          <w:rFonts w:hint="eastAsia" w:ascii="宋体" w:hAnsi="宋体" w:eastAsia="宋体" w:cs="宋体"/>
          <w:sz w:val="24"/>
          <w:szCs w:val="24"/>
          <w:lang w:val="en-US" w:eastAsia="zh-CN"/>
        </w:rPr>
        <w:t>报价</w:t>
      </w:r>
      <w:r>
        <w:rPr>
          <w:rFonts w:hint="eastAsia" w:ascii="宋体" w:hAnsi="宋体" w:eastAsia="宋体" w:cs="宋体"/>
          <w:sz w:val="24"/>
          <w:szCs w:val="24"/>
        </w:rPr>
        <w:t>文件、厂家货物技术标准说明均为验收依据，成交供应商维修后的设备需同时满足上述所有标准的要求。</w:t>
      </w:r>
    </w:p>
    <w:p w14:paraId="77D62823">
      <w:pPr>
        <w:pStyle w:val="26"/>
        <w:keepNext w:val="0"/>
        <w:keepLines w:val="0"/>
        <w:pageBreakBefore w:val="0"/>
        <w:widowControl w:val="0"/>
        <w:kinsoku/>
        <w:wordWrap w:val="0"/>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（2）维修调试检测后设备点验：维修调试检测后的设备运抵采购人指定地点后由采购人和成交供应商双方对照详细维修内容及技术要求等标准对设备进行品牌型号、整体外观及数量点验确认。</w:t>
      </w:r>
    </w:p>
    <w:p w14:paraId="6DCECC3C">
      <w:pPr>
        <w:pStyle w:val="26"/>
        <w:keepNext w:val="0"/>
        <w:keepLines w:val="0"/>
        <w:pageBreakBefore w:val="0"/>
        <w:widowControl w:val="0"/>
        <w:kinsoku/>
        <w:wordWrap w:val="0"/>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（3）现场安装自检试运行后验收：点验确认后，成交供应商需对设备进行现场安装并对其整体性能和功能进行自检，自检结果需符合采购文件、响应文件及合同中的相关条款，自检合格后，设备转入为期</w:t>
      </w:r>
      <w:r>
        <w:rPr>
          <w:rFonts w:hint="eastAsia" w:ascii="宋体" w:hAnsi="宋体" w:eastAsia="宋体" w:cs="宋体"/>
          <w:sz w:val="24"/>
          <w:szCs w:val="24"/>
          <w:highlight w:val="yellow"/>
          <w:lang w:val="en-US" w:eastAsia="zh-CN"/>
        </w:rPr>
        <w:t>3</w:t>
      </w:r>
      <w:r>
        <w:rPr>
          <w:rFonts w:hint="eastAsia" w:ascii="宋体" w:hAnsi="宋体" w:eastAsia="宋体" w:cs="宋体"/>
          <w:sz w:val="24"/>
          <w:szCs w:val="24"/>
          <w:highlight w:val="yellow"/>
        </w:rPr>
        <w:t>天</w:t>
      </w:r>
      <w:r>
        <w:rPr>
          <w:rFonts w:hint="eastAsia" w:ascii="宋体" w:hAnsi="宋体" w:eastAsia="宋体" w:cs="宋体"/>
          <w:sz w:val="24"/>
          <w:szCs w:val="24"/>
        </w:rPr>
        <w:t>的试运行。试运行结束后，成交供应商应向采购人提交自检记录</w:t>
      </w:r>
      <w:r>
        <w:rPr>
          <w:rFonts w:hint="eastAsia" w:ascii="宋体" w:hAnsi="宋体" w:eastAsia="宋体" w:cs="宋体"/>
          <w:sz w:val="24"/>
          <w:szCs w:val="24"/>
        </w:rPr>
        <w:t>和</w:t>
      </w:r>
      <w:r>
        <w:rPr>
          <w:rFonts w:hint="eastAsia" w:ascii="宋体" w:hAnsi="宋体" w:eastAsia="宋体" w:cs="宋体"/>
          <w:sz w:val="24"/>
          <w:szCs w:val="24"/>
        </w:rPr>
        <w:t>试运行记录，并提出验收申请。经采购人同意后，双方共同进行设备的维修验收</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验收合格后，双方共同签署验收确认单，本项目验收结束</w:t>
      </w:r>
      <w:r>
        <w:rPr>
          <w:rFonts w:hint="eastAsia" w:ascii="宋体" w:hAnsi="宋体" w:eastAsia="宋体" w:cs="宋体"/>
          <w:sz w:val="24"/>
          <w:szCs w:val="24"/>
        </w:rPr>
        <w:t>。</w:t>
      </w:r>
    </w:p>
    <w:p w14:paraId="317E0E03">
      <w:pPr>
        <w:pStyle w:val="26"/>
        <w:keepNext w:val="0"/>
        <w:keepLines w:val="0"/>
        <w:pageBreakBefore w:val="0"/>
        <w:widowControl w:val="0"/>
        <w:kinsoku/>
        <w:wordWrap w:val="0"/>
        <w:overflowPunct/>
        <w:topLinePunct w:val="0"/>
        <w:autoSpaceDE/>
        <w:autoSpaceDN/>
        <w:bidi w:val="0"/>
        <w:adjustRightInd/>
        <w:snapToGrid/>
        <w:spacing w:line="360" w:lineRule="auto"/>
        <w:ind w:firstLine="480" w:firstLineChars="200"/>
        <w:jc w:val="both"/>
        <w:textAlignment w:val="auto"/>
        <w:outlineLvl w:val="2"/>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、售后服务要求</w:t>
      </w:r>
    </w:p>
    <w:p w14:paraId="4BEC5870">
      <w:pPr>
        <w:pStyle w:val="26"/>
        <w:keepNext w:val="0"/>
        <w:keepLines w:val="0"/>
        <w:pageBreakBefore w:val="0"/>
        <w:widowControl w:val="0"/>
        <w:kinsoku/>
        <w:wordWrap w:val="0"/>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1）成交供应商应在合同签订后60日内将设备维修调试检测完毕提交给采购人，之后经过点验确认、现场安装自检及试运行后即可向采购人申请验收。供应商应提供至少3个月的维保期服务，自验收合格之日起计算。维保服务期内，须按合同条款提供服务。</w:t>
      </w:r>
    </w:p>
    <w:p w14:paraId="4509A83D">
      <w:pPr>
        <w:pStyle w:val="26"/>
        <w:keepNext w:val="0"/>
        <w:keepLines w:val="0"/>
        <w:pageBreakBefore w:val="0"/>
        <w:widowControl w:val="0"/>
        <w:kinsoku/>
        <w:wordWrap w:val="0"/>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2）成交供应商在维保服务期内须提供上门维修服务，设备运行发生相同故障时成交供应商在接到采购人故障通知后需在6小时内响应，18小时内到达现场，免费负责修理或更换再次出现故障的元件、零部件或模块（包括返厂维修），对造成的损失按合同规定赔偿及承担违约责任。</w:t>
      </w:r>
    </w:p>
    <w:p w14:paraId="1E88070D">
      <w:pPr>
        <w:pStyle w:val="26"/>
        <w:keepNext w:val="0"/>
        <w:keepLines w:val="0"/>
        <w:pageBreakBefore w:val="0"/>
        <w:widowControl w:val="0"/>
        <w:kinsoku/>
        <w:wordWrap w:val="0"/>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（3）维保服务期满前1个月内成交供应商应负责对设备进行一次全面检查，如发现故障部位出现潜在问题，应负责排除，保证设备正常运行。</w:t>
      </w:r>
    </w:p>
    <w:p w14:paraId="0B9FF8CE">
      <w:pPr>
        <w:pStyle w:val="26"/>
        <w:keepNext w:val="0"/>
        <w:keepLines w:val="0"/>
        <w:pageBreakBefore w:val="0"/>
        <w:widowControl w:val="0"/>
        <w:kinsoku/>
        <w:wordWrap w:val="0"/>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（4）供应商可视自身能力在</w:t>
      </w:r>
      <w:r>
        <w:rPr>
          <w:rFonts w:hint="eastAsia" w:ascii="宋体" w:hAnsi="宋体" w:eastAsia="宋体" w:cs="宋体"/>
          <w:sz w:val="24"/>
          <w:szCs w:val="24"/>
          <w:lang w:val="en-US" w:eastAsia="zh-CN"/>
        </w:rPr>
        <w:t>报价</w:t>
      </w:r>
      <w:bookmarkStart w:id="2" w:name="_GoBack"/>
      <w:bookmarkEnd w:id="2"/>
      <w:r>
        <w:rPr>
          <w:rFonts w:hint="eastAsia" w:ascii="宋体" w:hAnsi="宋体" w:eastAsia="宋体" w:cs="宋体"/>
          <w:sz w:val="24"/>
          <w:szCs w:val="24"/>
        </w:rPr>
        <w:t>文件中提供更优、更合理的维保服务方案和维修售后服务承诺。</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8162AE">
    <w:pPr>
      <w:pStyle w:val="2"/>
      <w:framePr w:wrap="auto" w:vAnchor="text" w:hAnchor="margin" w:xAlign="right" w:y="1"/>
      <w:rPr>
        <w:rStyle w:val="15"/>
        <w:rFonts w:cs="Times New Roman"/>
      </w:rPr>
    </w:pPr>
  </w:p>
  <w:p w14:paraId="4AD937B1">
    <w:pPr>
      <w:pStyle w:val="6"/>
      <w:spacing w:line="14" w:lineRule="auto"/>
      <w:ind w:right="360"/>
      <w:rPr>
        <w:rFonts w:cs="Times New Roman"/>
        <w:sz w:val="20"/>
        <w:szCs w:val="20"/>
      </w:rPr>
    </w:pPr>
    <w:r>
      <w:rPr>
        <w:rFonts w:hint="eastAsia"/>
        <w:lang w:eastAsia="zh-CN"/>
      </w:rPr>
      <mc:AlternateContent>
        <mc:Choice Requires="wps">
          <w:drawing>
            <wp:anchor distT="0" distB="0" distL="114300" distR="114300" simplePos="0" relativeHeight="251659264" behindDoc="1" locked="0" layoutInCell="1" allowOverlap="1">
              <wp:simplePos x="0" y="0"/>
              <wp:positionH relativeFrom="page">
                <wp:posOffset>3859530</wp:posOffset>
              </wp:positionH>
              <wp:positionV relativeFrom="page">
                <wp:posOffset>9793605</wp:posOffset>
              </wp:positionV>
              <wp:extent cx="167005" cy="139700"/>
              <wp:effectExtent l="1905" t="1905" r="2540" b="1270"/>
              <wp:wrapNone/>
              <wp:docPr id="1608025616" name="Text Box 1"/>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wps:spPr>
                    <wps:txbx>
                      <w:txbxContent>
                        <w:p w14:paraId="2CAB43FD">
                          <w:pPr>
                            <w:spacing w:line="203" w:lineRule="exact"/>
                            <w:ind w:left="40"/>
                            <w:rPr>
                              <w:rFonts w:cs="Times New Roman"/>
                              <w:sz w:val="18"/>
                              <w:szCs w:val="18"/>
                            </w:rPr>
                          </w:pPr>
                        </w:p>
                      </w:txbxContent>
                    </wps:txbx>
                    <wps:bodyPr rot="0" vert="horz" wrap="square" lIns="0" tIns="0" rIns="0" bIns="0" anchor="t" anchorCtr="0" upright="1">
                      <a:noAutofit/>
                    </wps:bodyPr>
                  </wps:wsp>
                </a:graphicData>
              </a:graphic>
            </wp:anchor>
          </w:drawing>
        </mc:Choice>
        <mc:Fallback>
          <w:pict>
            <v:shape id="Text Box 1" o:spid="_x0000_s1026" o:spt="202" type="#_x0000_t202" style="position:absolute;left:0pt;margin-left:303.9pt;margin-top:771.15pt;height:11pt;width:13.15pt;mso-position-horizontal-relative:page;mso-position-vertical-relative:page;z-index:-251657216;mso-width-relative:page;mso-height-relative:page;" filled="f" stroked="f" coordsize="21600,21600" o:gfxdata="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&#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XRFIhNsAAAANAQAADwAAAAAAAAABACAAAAAiAAAAZHJz&#10;L2Rvd25yZXYueG1sUEsBAhQAFAAAAAgAh07iQKmZD8UBAgAADAQAAA4AAAAAAAAAAQAgAAAAKgEA&#10;AGRycy9lMm9Eb2MueG1sUEsFBgAAAAAGAAYAWQEAAJ0FAAAAAA==&#10;">
              <v:fill on="f" focussize="0,0"/>
              <v:stroke on="f"/>
              <v:imagedata o:title=""/>
              <o:lock v:ext="edit" aspectratio="f"/>
              <v:textbox inset="0mm,0mm,0mm,0mm">
                <w:txbxContent>
                  <w:p w14:paraId="2CAB43FD">
                    <w:pPr>
                      <w:spacing w:line="203" w:lineRule="exact"/>
                      <w:ind w:left="40"/>
                      <w:rPr>
                        <w:rFonts w:cs="Times New Roman"/>
                        <w:sz w:val="18"/>
                        <w:szCs w:val="18"/>
                      </w:rPr>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7FC6"/>
    <w:rsid w:val="000341A0"/>
    <w:rsid w:val="00053997"/>
    <w:rsid w:val="00086684"/>
    <w:rsid w:val="000968C3"/>
    <w:rsid w:val="000A6591"/>
    <w:rsid w:val="000B523D"/>
    <w:rsid w:val="001055D0"/>
    <w:rsid w:val="001222AD"/>
    <w:rsid w:val="00161991"/>
    <w:rsid w:val="00205003"/>
    <w:rsid w:val="00250CE3"/>
    <w:rsid w:val="00283FAE"/>
    <w:rsid w:val="00285F9D"/>
    <w:rsid w:val="00295735"/>
    <w:rsid w:val="002A45FF"/>
    <w:rsid w:val="002A4E24"/>
    <w:rsid w:val="002B026A"/>
    <w:rsid w:val="002E778F"/>
    <w:rsid w:val="002F6B6A"/>
    <w:rsid w:val="00311CB4"/>
    <w:rsid w:val="00317660"/>
    <w:rsid w:val="00334DE6"/>
    <w:rsid w:val="00371DDE"/>
    <w:rsid w:val="00386AB1"/>
    <w:rsid w:val="0039387F"/>
    <w:rsid w:val="003B5DC7"/>
    <w:rsid w:val="003C0D52"/>
    <w:rsid w:val="003C422A"/>
    <w:rsid w:val="003C4CEA"/>
    <w:rsid w:val="003E2D7A"/>
    <w:rsid w:val="003F330A"/>
    <w:rsid w:val="004E36A0"/>
    <w:rsid w:val="004F2732"/>
    <w:rsid w:val="004F28DC"/>
    <w:rsid w:val="004F353B"/>
    <w:rsid w:val="005056BE"/>
    <w:rsid w:val="00536605"/>
    <w:rsid w:val="0057207A"/>
    <w:rsid w:val="00575B9B"/>
    <w:rsid w:val="00583E75"/>
    <w:rsid w:val="0059629B"/>
    <w:rsid w:val="005A2E44"/>
    <w:rsid w:val="005A347D"/>
    <w:rsid w:val="0061236C"/>
    <w:rsid w:val="00624C15"/>
    <w:rsid w:val="0065033C"/>
    <w:rsid w:val="0065782E"/>
    <w:rsid w:val="00663827"/>
    <w:rsid w:val="00684981"/>
    <w:rsid w:val="006A1C48"/>
    <w:rsid w:val="006E14CE"/>
    <w:rsid w:val="006E2A73"/>
    <w:rsid w:val="007168AA"/>
    <w:rsid w:val="00716D43"/>
    <w:rsid w:val="00723DFD"/>
    <w:rsid w:val="00745B97"/>
    <w:rsid w:val="00755365"/>
    <w:rsid w:val="007763AE"/>
    <w:rsid w:val="00793F93"/>
    <w:rsid w:val="007A010C"/>
    <w:rsid w:val="007B28FF"/>
    <w:rsid w:val="007C05C5"/>
    <w:rsid w:val="007F40FB"/>
    <w:rsid w:val="00812973"/>
    <w:rsid w:val="00812BAA"/>
    <w:rsid w:val="008217FA"/>
    <w:rsid w:val="00840D0A"/>
    <w:rsid w:val="00855517"/>
    <w:rsid w:val="00865A7B"/>
    <w:rsid w:val="00873E36"/>
    <w:rsid w:val="008B539A"/>
    <w:rsid w:val="008D23F9"/>
    <w:rsid w:val="008E4F23"/>
    <w:rsid w:val="00923F78"/>
    <w:rsid w:val="009444C4"/>
    <w:rsid w:val="009527EB"/>
    <w:rsid w:val="00981744"/>
    <w:rsid w:val="009F72FD"/>
    <w:rsid w:val="00A13F11"/>
    <w:rsid w:val="00A14194"/>
    <w:rsid w:val="00A27A97"/>
    <w:rsid w:val="00A4729C"/>
    <w:rsid w:val="00A56D19"/>
    <w:rsid w:val="00A84019"/>
    <w:rsid w:val="00AB1998"/>
    <w:rsid w:val="00AB5212"/>
    <w:rsid w:val="00AB7C4A"/>
    <w:rsid w:val="00AC36F8"/>
    <w:rsid w:val="00AC54D6"/>
    <w:rsid w:val="00AC65C9"/>
    <w:rsid w:val="00AD0981"/>
    <w:rsid w:val="00AD674C"/>
    <w:rsid w:val="00AE1893"/>
    <w:rsid w:val="00AE4CAA"/>
    <w:rsid w:val="00AF3EE8"/>
    <w:rsid w:val="00B129DC"/>
    <w:rsid w:val="00B33F08"/>
    <w:rsid w:val="00B440E4"/>
    <w:rsid w:val="00B819DB"/>
    <w:rsid w:val="00B93F9D"/>
    <w:rsid w:val="00B9453E"/>
    <w:rsid w:val="00B94DAB"/>
    <w:rsid w:val="00BC256F"/>
    <w:rsid w:val="00BD1DF5"/>
    <w:rsid w:val="00BD3704"/>
    <w:rsid w:val="00C01A24"/>
    <w:rsid w:val="00C23850"/>
    <w:rsid w:val="00C30AA2"/>
    <w:rsid w:val="00C55CDA"/>
    <w:rsid w:val="00C6268F"/>
    <w:rsid w:val="00C7682E"/>
    <w:rsid w:val="00C82A17"/>
    <w:rsid w:val="00CA683D"/>
    <w:rsid w:val="00CB1888"/>
    <w:rsid w:val="00CB67E8"/>
    <w:rsid w:val="00CD031B"/>
    <w:rsid w:val="00CF035F"/>
    <w:rsid w:val="00CF107B"/>
    <w:rsid w:val="00D07FC6"/>
    <w:rsid w:val="00D30E56"/>
    <w:rsid w:val="00D512BD"/>
    <w:rsid w:val="00D769FE"/>
    <w:rsid w:val="00D95265"/>
    <w:rsid w:val="00DE05C3"/>
    <w:rsid w:val="00DF5AC6"/>
    <w:rsid w:val="00E465B9"/>
    <w:rsid w:val="00EA1BB9"/>
    <w:rsid w:val="00EA42C1"/>
    <w:rsid w:val="00ED55ED"/>
    <w:rsid w:val="00ED613D"/>
    <w:rsid w:val="00EE26AD"/>
    <w:rsid w:val="00EF395B"/>
    <w:rsid w:val="00F11702"/>
    <w:rsid w:val="00F14B29"/>
    <w:rsid w:val="00F33487"/>
    <w:rsid w:val="00F33503"/>
    <w:rsid w:val="00F429D0"/>
    <w:rsid w:val="00F57E87"/>
    <w:rsid w:val="00F72F9F"/>
    <w:rsid w:val="00F83AF8"/>
    <w:rsid w:val="00F9607A"/>
    <w:rsid w:val="00FB2DF0"/>
    <w:rsid w:val="00FD085E"/>
    <w:rsid w:val="00FE0B2F"/>
    <w:rsid w:val="00FF0FAF"/>
    <w:rsid w:val="01791910"/>
    <w:rsid w:val="01D473F1"/>
    <w:rsid w:val="10032EBA"/>
    <w:rsid w:val="147770A6"/>
    <w:rsid w:val="14B6481A"/>
    <w:rsid w:val="15AC51FA"/>
    <w:rsid w:val="2020322B"/>
    <w:rsid w:val="26E06DFE"/>
    <w:rsid w:val="2A3F5185"/>
    <w:rsid w:val="30486AF8"/>
    <w:rsid w:val="335144FD"/>
    <w:rsid w:val="349B655D"/>
    <w:rsid w:val="42206C63"/>
    <w:rsid w:val="42E43256"/>
    <w:rsid w:val="45634846"/>
    <w:rsid w:val="462406C2"/>
    <w:rsid w:val="4A243541"/>
    <w:rsid w:val="4A983E4C"/>
    <w:rsid w:val="4E5D55FE"/>
    <w:rsid w:val="5C25514A"/>
    <w:rsid w:val="5F0E6369"/>
    <w:rsid w:val="60525479"/>
    <w:rsid w:val="63AF0C1D"/>
    <w:rsid w:val="6AE56357"/>
    <w:rsid w:val="6B1278FB"/>
    <w:rsid w:val="6B9023FF"/>
    <w:rsid w:val="7A37456E"/>
    <w:rsid w:val="7B2C31AC"/>
    <w:rsid w:val="7F5652D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99" w:semiHidden="0" w:name="heading 2"/>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nhideWhenUsed="0" w:uiPriority="99" w:semiHidden="0" w:name="heading 7"/>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99" w:semiHidden="0" w:name="Subtitle"/>
    <w:lsdException w:uiPriority="99" w:name="Salutation"/>
    <w:lsdException w:qFormat="1" w:unhideWhenUsed="0"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paragraph" w:styleId="3">
    <w:name w:val="heading 2"/>
    <w:basedOn w:val="1"/>
    <w:next w:val="1"/>
    <w:link w:val="16"/>
    <w:qFormat/>
    <w:uiPriority w:val="99"/>
    <w:pPr>
      <w:keepNext/>
      <w:keepLines/>
      <w:spacing w:before="260" w:after="260" w:line="416" w:lineRule="auto"/>
      <w:outlineLvl w:val="1"/>
    </w:pPr>
    <w:rPr>
      <w:rFonts w:ascii="Cambria" w:hAnsi="Cambria" w:cs="Cambria"/>
      <w:b/>
      <w:bCs/>
      <w:sz w:val="32"/>
      <w:szCs w:val="32"/>
    </w:rPr>
  </w:style>
  <w:style w:type="paragraph" w:styleId="4">
    <w:name w:val="heading 3"/>
    <w:basedOn w:val="1"/>
    <w:next w:val="1"/>
    <w:link w:val="17"/>
    <w:qFormat/>
    <w:uiPriority w:val="99"/>
    <w:pPr>
      <w:keepNext/>
      <w:keepLines/>
      <w:spacing w:before="260" w:after="260" w:line="416" w:lineRule="auto"/>
      <w:outlineLvl w:val="2"/>
    </w:pPr>
    <w:rPr>
      <w:b/>
      <w:bCs/>
      <w:sz w:val="32"/>
      <w:szCs w:val="32"/>
    </w:rPr>
  </w:style>
  <w:style w:type="paragraph" w:styleId="5">
    <w:name w:val="heading 7"/>
    <w:basedOn w:val="1"/>
    <w:link w:val="18"/>
    <w:qFormat/>
    <w:uiPriority w:val="99"/>
    <w:pPr>
      <w:autoSpaceDE w:val="0"/>
      <w:autoSpaceDN w:val="0"/>
      <w:spacing w:before="36"/>
      <w:ind w:left="137"/>
      <w:jc w:val="left"/>
      <w:outlineLvl w:val="6"/>
    </w:pPr>
    <w:rPr>
      <w:rFonts w:ascii="宋体" w:hAnsi="宋体" w:cs="宋体"/>
      <w:b/>
      <w:bCs/>
      <w:kern w:val="0"/>
      <w:sz w:val="24"/>
      <w:szCs w:val="24"/>
      <w:lang w:eastAsia="en-US"/>
    </w:rPr>
  </w:style>
  <w:style w:type="character" w:default="1" w:styleId="13">
    <w:name w:val="Default Paragraph Font"/>
    <w:semiHidden/>
    <w:unhideWhenUsed/>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styleId="2">
    <w:name w:val="footer"/>
    <w:basedOn w:val="1"/>
    <w:link w:val="20"/>
    <w:qFormat/>
    <w:uiPriority w:val="99"/>
    <w:pPr>
      <w:tabs>
        <w:tab w:val="center" w:pos="4153"/>
        <w:tab w:val="right" w:pos="8306"/>
      </w:tabs>
      <w:snapToGrid w:val="0"/>
      <w:jc w:val="left"/>
    </w:pPr>
    <w:rPr>
      <w:sz w:val="18"/>
      <w:szCs w:val="18"/>
    </w:rPr>
  </w:style>
  <w:style w:type="paragraph" w:styleId="6">
    <w:name w:val="Body Text"/>
    <w:basedOn w:val="1"/>
    <w:link w:val="22"/>
    <w:qFormat/>
    <w:uiPriority w:val="99"/>
    <w:pPr>
      <w:autoSpaceDE w:val="0"/>
      <w:autoSpaceDN w:val="0"/>
      <w:jc w:val="left"/>
    </w:pPr>
    <w:rPr>
      <w:rFonts w:ascii="宋体" w:hAnsi="宋体" w:cs="宋体"/>
      <w:kern w:val="0"/>
      <w:sz w:val="24"/>
      <w:szCs w:val="24"/>
      <w:lang w:eastAsia="en-US"/>
    </w:rPr>
  </w:style>
  <w:style w:type="paragraph" w:styleId="7">
    <w:name w:val="Date"/>
    <w:basedOn w:val="1"/>
    <w:next w:val="1"/>
    <w:link w:val="25"/>
    <w:semiHidden/>
    <w:qFormat/>
    <w:uiPriority w:val="99"/>
    <w:pPr>
      <w:ind w:left="100" w:leftChars="2500"/>
    </w:pPr>
  </w:style>
  <w:style w:type="paragraph" w:styleId="8">
    <w:name w:val="header"/>
    <w:basedOn w:val="1"/>
    <w:link w:val="19"/>
    <w:qFormat/>
    <w:uiPriority w:val="99"/>
    <w:pPr>
      <w:pBdr>
        <w:bottom w:val="single" w:color="auto" w:sz="6" w:space="1"/>
      </w:pBdr>
      <w:tabs>
        <w:tab w:val="center" w:pos="4153"/>
        <w:tab w:val="right" w:pos="8306"/>
      </w:tabs>
      <w:snapToGrid w:val="0"/>
      <w:jc w:val="center"/>
    </w:pPr>
    <w:rPr>
      <w:sz w:val="18"/>
      <w:szCs w:val="18"/>
    </w:rPr>
  </w:style>
  <w:style w:type="paragraph" w:styleId="9">
    <w:name w:val="Subtitle"/>
    <w:basedOn w:val="1"/>
    <w:next w:val="1"/>
    <w:link w:val="21"/>
    <w:qFormat/>
    <w:uiPriority w:val="99"/>
    <w:pPr>
      <w:spacing w:before="240" w:after="60" w:line="312" w:lineRule="auto"/>
      <w:jc w:val="center"/>
      <w:outlineLvl w:val="1"/>
    </w:pPr>
    <w:rPr>
      <w:rFonts w:ascii="Cambria" w:hAnsi="Cambria" w:cs="Cambria"/>
      <w:b/>
      <w:bCs/>
      <w:kern w:val="28"/>
      <w:sz w:val="32"/>
      <w:szCs w:val="32"/>
    </w:rPr>
  </w:style>
  <w:style w:type="paragraph" w:styleId="10">
    <w:name w:val="Normal (Web)"/>
    <w:basedOn w:val="1"/>
    <w:qFormat/>
    <w:uiPriority w:val="99"/>
    <w:pPr>
      <w:spacing w:beforeAutospacing="1" w:afterAutospacing="1"/>
      <w:jc w:val="left"/>
    </w:pPr>
    <w:rPr>
      <w:kern w:val="0"/>
      <w:sz w:val="24"/>
      <w:szCs w:val="24"/>
    </w:rPr>
  </w:style>
  <w:style w:type="table" w:styleId="12">
    <w:name w:val="Table Grid"/>
    <w:basedOn w:val="11"/>
    <w:qFormat/>
    <w:uiPriority w:val="99"/>
    <w:rPr>
      <w:rFonts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99"/>
    <w:rPr>
      <w:b/>
      <w:bCs/>
    </w:rPr>
  </w:style>
  <w:style w:type="character" w:styleId="15">
    <w:name w:val="page number"/>
    <w:basedOn w:val="13"/>
    <w:qFormat/>
    <w:uiPriority w:val="99"/>
  </w:style>
  <w:style w:type="character" w:customStyle="1" w:styleId="16">
    <w:name w:val="标题 2 字符"/>
    <w:basedOn w:val="13"/>
    <w:link w:val="3"/>
    <w:qFormat/>
    <w:locked/>
    <w:uiPriority w:val="99"/>
    <w:rPr>
      <w:rFonts w:ascii="Cambria" w:hAnsi="Cambria" w:eastAsia="宋体" w:cs="Cambria"/>
      <w:b/>
      <w:bCs/>
      <w:sz w:val="32"/>
      <w:szCs w:val="32"/>
    </w:rPr>
  </w:style>
  <w:style w:type="character" w:customStyle="1" w:styleId="17">
    <w:name w:val="标题 3 字符"/>
    <w:basedOn w:val="13"/>
    <w:link w:val="4"/>
    <w:semiHidden/>
    <w:qFormat/>
    <w:locked/>
    <w:uiPriority w:val="99"/>
    <w:rPr>
      <w:b/>
      <w:bCs/>
      <w:sz w:val="32"/>
      <w:szCs w:val="32"/>
    </w:rPr>
  </w:style>
  <w:style w:type="character" w:customStyle="1" w:styleId="18">
    <w:name w:val="标题 7 字符"/>
    <w:basedOn w:val="13"/>
    <w:link w:val="5"/>
    <w:qFormat/>
    <w:locked/>
    <w:uiPriority w:val="99"/>
    <w:rPr>
      <w:rFonts w:ascii="宋体" w:hAnsi="宋体" w:eastAsia="宋体" w:cs="宋体"/>
      <w:b/>
      <w:bCs/>
      <w:kern w:val="0"/>
      <w:sz w:val="24"/>
      <w:szCs w:val="24"/>
      <w:lang w:eastAsia="en-US"/>
    </w:rPr>
  </w:style>
  <w:style w:type="character" w:customStyle="1" w:styleId="19">
    <w:name w:val="页眉 字符"/>
    <w:basedOn w:val="13"/>
    <w:link w:val="8"/>
    <w:qFormat/>
    <w:locked/>
    <w:uiPriority w:val="99"/>
    <w:rPr>
      <w:sz w:val="18"/>
      <w:szCs w:val="18"/>
    </w:rPr>
  </w:style>
  <w:style w:type="character" w:customStyle="1" w:styleId="20">
    <w:name w:val="页脚 字符"/>
    <w:basedOn w:val="13"/>
    <w:link w:val="2"/>
    <w:qFormat/>
    <w:locked/>
    <w:uiPriority w:val="99"/>
    <w:rPr>
      <w:sz w:val="18"/>
      <w:szCs w:val="18"/>
    </w:rPr>
  </w:style>
  <w:style w:type="character" w:customStyle="1" w:styleId="21">
    <w:name w:val="副标题 字符"/>
    <w:basedOn w:val="13"/>
    <w:link w:val="9"/>
    <w:qFormat/>
    <w:locked/>
    <w:uiPriority w:val="99"/>
    <w:rPr>
      <w:rFonts w:ascii="Cambria" w:hAnsi="Cambria" w:cs="Cambria"/>
      <w:b/>
      <w:bCs/>
      <w:kern w:val="28"/>
      <w:sz w:val="32"/>
      <w:szCs w:val="32"/>
    </w:rPr>
  </w:style>
  <w:style w:type="character" w:customStyle="1" w:styleId="22">
    <w:name w:val="正文文本 字符"/>
    <w:basedOn w:val="13"/>
    <w:link w:val="6"/>
    <w:qFormat/>
    <w:locked/>
    <w:uiPriority w:val="99"/>
    <w:rPr>
      <w:rFonts w:ascii="宋体" w:hAnsi="宋体" w:eastAsia="宋体" w:cs="宋体"/>
      <w:kern w:val="0"/>
      <w:sz w:val="24"/>
      <w:szCs w:val="24"/>
      <w:lang w:eastAsia="en-US"/>
    </w:rPr>
  </w:style>
  <w:style w:type="paragraph" w:customStyle="1" w:styleId="23">
    <w:name w:val="Table Paragraph"/>
    <w:basedOn w:val="1"/>
    <w:qFormat/>
    <w:uiPriority w:val="99"/>
    <w:pPr>
      <w:autoSpaceDE w:val="0"/>
      <w:autoSpaceDN w:val="0"/>
      <w:jc w:val="left"/>
    </w:pPr>
    <w:rPr>
      <w:rFonts w:ascii="宋体" w:hAnsi="宋体" w:cs="宋体"/>
      <w:kern w:val="0"/>
      <w:sz w:val="22"/>
      <w:szCs w:val="22"/>
      <w:lang w:eastAsia="en-US"/>
    </w:rPr>
  </w:style>
  <w:style w:type="paragraph" w:styleId="24">
    <w:name w:val="List Paragraph"/>
    <w:basedOn w:val="1"/>
    <w:qFormat/>
    <w:uiPriority w:val="99"/>
    <w:pPr>
      <w:autoSpaceDE w:val="0"/>
      <w:autoSpaceDN w:val="0"/>
      <w:spacing w:before="36"/>
      <w:ind w:left="137"/>
      <w:jc w:val="left"/>
    </w:pPr>
    <w:rPr>
      <w:rFonts w:ascii="宋体" w:hAnsi="宋体" w:cs="宋体"/>
      <w:kern w:val="0"/>
      <w:sz w:val="22"/>
      <w:szCs w:val="22"/>
      <w:lang w:eastAsia="en-US"/>
    </w:rPr>
  </w:style>
  <w:style w:type="character" w:customStyle="1" w:styleId="25">
    <w:name w:val="日期 字符"/>
    <w:basedOn w:val="13"/>
    <w:link w:val="7"/>
    <w:semiHidden/>
    <w:qFormat/>
    <w:locked/>
    <w:uiPriority w:val="99"/>
    <w:rPr>
      <w:sz w:val="24"/>
      <w:szCs w:val="24"/>
    </w:rPr>
  </w:style>
  <w:style w:type="paragraph" w:customStyle="1" w:styleId="26">
    <w:name w:val="null3"/>
    <w:hidden/>
    <w:qFormat/>
    <w:uiPriority w:val="0"/>
    <w:rPr>
      <w:rFonts w:hint="eastAsia" w:asciiTheme="minorHAnsi" w:hAnsiTheme="minorHAnsi" w:eastAsiaTheme="minorEastAsia" w:cstheme="minorBidi"/>
      <w:lang w:val="en-US" w:eastAsia="zh-Han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福建漳州</Company>
  <Pages>2</Pages>
  <Words>1417</Words>
  <Characters>1444</Characters>
  <Lines>10</Lines>
  <Paragraphs>2</Paragraphs>
  <TotalTime>0</TotalTime>
  <ScaleCrop>false</ScaleCrop>
  <LinksUpToDate>false</LinksUpToDate>
  <CharactersWithSpaces>1444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2026-07-02T08:08:00Z</dcterms:created>
  <dc:creator>USER</dc:creator>
  <cp:lastModifiedBy>WPS</cp:lastModifiedBy>
  <dcterms:modified xsi:type="dcterms:W3CDTF">2026-07-23T11:43:41Z</dcterms:modified>
  <dc:title>采购内容及要求</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0865E144B8D7413EBE390EB2886A09F6_12</vt:lpwstr>
  </property>
  <property fmtid="{D5CDD505-2E9C-101B-9397-08002B2CF9AE}" pid="4" name="KSOTemplateDocerSaveRecord">
    <vt:lpwstr>eyJoZGlkIjoiMDljOTI0YmEwNTE4Y2EyNDc1ZTk3NDQ3NjMyNGIyNDMiLCJ1c2VySWQiOiI0MTk5MTUxNjYifQ==</vt:lpwstr>
  </property>
</Properties>
</file>