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85CB1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1" w:name="_GoBack"/>
      <w:bookmarkEnd w:id="1"/>
    </w:p>
    <w:p w14:paraId="138C5A8F">
      <w:pPr>
        <w:spacing w:line="560" w:lineRule="exact"/>
        <w:jc w:val="center"/>
        <w:rPr>
          <w:rFonts w:ascii="Times New Roman" w:hAnsi="Times New Roman" w:eastAsia="黑体"/>
          <w:sz w:val="40"/>
          <w:szCs w:val="40"/>
        </w:rPr>
      </w:pPr>
      <w:r>
        <w:rPr>
          <w:rFonts w:hint="eastAsia" w:ascii="Times New Roman" w:hAnsi="Times New Roman" w:eastAsia="黑体"/>
          <w:sz w:val="40"/>
          <w:szCs w:val="40"/>
        </w:rPr>
        <w:t>无线电固定监测站覆盖效能分析及站点优化</w:t>
      </w:r>
    </w:p>
    <w:p w14:paraId="147347A3">
      <w:pPr>
        <w:spacing w:line="560" w:lineRule="exact"/>
        <w:jc w:val="center"/>
        <w:rPr>
          <w:rFonts w:ascii="Times New Roman" w:hAnsi="Times New Roman" w:eastAsia="黑体"/>
          <w:sz w:val="40"/>
          <w:szCs w:val="40"/>
        </w:rPr>
      </w:pPr>
      <w:r>
        <w:rPr>
          <w:rFonts w:hint="eastAsia" w:ascii="Times New Roman" w:hAnsi="Times New Roman" w:eastAsia="黑体"/>
          <w:sz w:val="40"/>
          <w:szCs w:val="40"/>
        </w:rPr>
        <w:t>课题研究</w:t>
      </w:r>
      <w:r>
        <w:rPr>
          <w:rFonts w:ascii="Times New Roman" w:hAnsi="Times New Roman" w:eastAsia="黑体"/>
          <w:sz w:val="40"/>
          <w:szCs w:val="40"/>
        </w:rPr>
        <w:t>采购内容</w:t>
      </w:r>
    </w:p>
    <w:p w14:paraId="1290633B">
      <w:pPr>
        <w:spacing w:line="640" w:lineRule="exact"/>
        <w:jc w:val="center"/>
        <w:rPr>
          <w:rFonts w:ascii="Times New Roman" w:hAnsi="Times New Roman" w:eastAsia="黑体"/>
          <w:sz w:val="44"/>
          <w:szCs w:val="44"/>
        </w:rPr>
      </w:pPr>
    </w:p>
    <w:p w14:paraId="756F86C5">
      <w:p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一、项目名称</w:t>
      </w:r>
    </w:p>
    <w:p w14:paraId="11C3B043">
      <w:pPr>
        <w:spacing w:line="640" w:lineRule="exact"/>
        <w:ind w:firstLine="640"/>
        <w:rPr>
          <w:rFonts w:ascii="Times New Roman" w:hAnsi="Times New Roman" w:eastAsia="仿宋_GB2312"/>
          <w:color w:val="000000"/>
          <w:sz w:val="32"/>
          <w:szCs w:val="40"/>
        </w:rPr>
      </w:pPr>
      <w:r>
        <w:rPr>
          <w:rFonts w:hint="eastAsia" w:ascii="Times New Roman" w:hAnsi="Times New Roman" w:eastAsia="仿宋_GB2312"/>
          <w:color w:val="000000"/>
          <w:sz w:val="32"/>
          <w:szCs w:val="40"/>
        </w:rPr>
        <w:t>无线电固定监测站覆盖效能分析及站点优化课题研究</w:t>
      </w:r>
    </w:p>
    <w:p w14:paraId="2397428F">
      <w:p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二、研究背景</w:t>
      </w:r>
    </w:p>
    <w:p w14:paraId="229FE01C">
      <w:pPr>
        <w:autoSpaceDE w:val="0"/>
        <w:spacing w:line="640" w:lineRule="exact"/>
        <w:ind w:firstLine="640"/>
        <w:rPr>
          <w:rFonts w:hint="eastAsia" w:ascii="Times New Roman" w:hAnsi="Times New Roman" w:eastAsia="仿宋_GB2312"/>
          <w:sz w:val="32"/>
          <w:szCs w:val="40"/>
          <w:lang w:eastAsia="zh-CN"/>
        </w:rPr>
      </w:pPr>
      <w:bookmarkStart w:id="0" w:name="OLE_LINK1"/>
      <w:r>
        <w:rPr>
          <w:rFonts w:ascii="Times New Roman" w:hAnsi="Times New Roman" w:eastAsia="仿宋_GB2312"/>
          <w:sz w:val="32"/>
          <w:szCs w:val="40"/>
        </w:rPr>
        <w:t>随着经济</w:t>
      </w:r>
      <w:r>
        <w:rPr>
          <w:rFonts w:hint="eastAsia" w:ascii="Times New Roman" w:hAnsi="Times New Roman" w:eastAsia="仿宋_GB2312"/>
          <w:sz w:val="32"/>
          <w:szCs w:val="40"/>
        </w:rPr>
        <w:t>持续</w:t>
      </w:r>
      <w:r>
        <w:rPr>
          <w:rFonts w:ascii="Times New Roman" w:hAnsi="Times New Roman" w:eastAsia="仿宋_GB2312"/>
          <w:sz w:val="32"/>
          <w:szCs w:val="40"/>
        </w:rPr>
        <w:t>发展，地区电磁频谱环境日益复杂，</w:t>
      </w:r>
      <w:r>
        <w:rPr>
          <w:rFonts w:hint="eastAsia" w:ascii="Times New Roman" w:hAnsi="Times New Roman" w:eastAsia="仿宋_GB2312"/>
          <w:sz w:val="32"/>
          <w:szCs w:val="40"/>
        </w:rPr>
        <w:t>无线电频谱</w:t>
      </w:r>
      <w:r>
        <w:rPr>
          <w:rFonts w:ascii="Times New Roman" w:hAnsi="Times New Roman" w:eastAsia="仿宋_GB2312"/>
          <w:sz w:val="32"/>
          <w:szCs w:val="40"/>
        </w:rPr>
        <w:t>资源供需矛盾</w:t>
      </w:r>
      <w:r>
        <w:rPr>
          <w:rFonts w:hint="eastAsia" w:ascii="Times New Roman" w:hAnsi="Times New Roman" w:eastAsia="仿宋_GB2312"/>
          <w:sz w:val="32"/>
          <w:szCs w:val="40"/>
        </w:rPr>
        <w:t>凸显</w:t>
      </w:r>
      <w:r>
        <w:rPr>
          <w:rFonts w:ascii="Times New Roman" w:hAnsi="Times New Roman" w:eastAsia="仿宋_GB2312"/>
          <w:sz w:val="32"/>
          <w:szCs w:val="40"/>
        </w:rPr>
        <w:t>，</w:t>
      </w:r>
      <w:r>
        <w:rPr>
          <w:rFonts w:hint="eastAsia" w:ascii="Times New Roman" w:hAnsi="Times New Roman" w:eastAsia="仿宋_GB2312"/>
          <w:sz w:val="32"/>
          <w:szCs w:val="40"/>
        </w:rPr>
        <w:t>非法信号排查、重大活动保障等</w:t>
      </w:r>
      <w:r>
        <w:rPr>
          <w:rFonts w:ascii="Times New Roman" w:hAnsi="Times New Roman" w:eastAsia="仿宋_GB2312"/>
          <w:sz w:val="32"/>
          <w:szCs w:val="40"/>
        </w:rPr>
        <w:t>管控</w:t>
      </w:r>
      <w:r>
        <w:rPr>
          <w:rFonts w:hint="eastAsia" w:ascii="Times New Roman" w:hAnsi="Times New Roman" w:eastAsia="仿宋_GB2312"/>
          <w:sz w:val="32"/>
          <w:szCs w:val="40"/>
        </w:rPr>
        <w:t>工作</w:t>
      </w:r>
      <w:r>
        <w:rPr>
          <w:rFonts w:ascii="Times New Roman" w:hAnsi="Times New Roman" w:eastAsia="仿宋_GB2312"/>
          <w:sz w:val="32"/>
          <w:szCs w:val="40"/>
        </w:rPr>
        <w:t>难度</w:t>
      </w:r>
      <w:r>
        <w:rPr>
          <w:rFonts w:hint="eastAsia" w:ascii="Times New Roman" w:hAnsi="Times New Roman" w:eastAsia="仿宋_GB2312"/>
          <w:sz w:val="32"/>
          <w:szCs w:val="40"/>
        </w:rPr>
        <w:t>持续提升</w:t>
      </w:r>
      <w:r>
        <w:rPr>
          <w:rFonts w:ascii="Times New Roman" w:hAnsi="Times New Roman" w:eastAsia="仿宋_GB2312"/>
          <w:sz w:val="32"/>
          <w:szCs w:val="40"/>
        </w:rPr>
        <w:t>。</w:t>
      </w:r>
      <w:r>
        <w:rPr>
          <w:rFonts w:hint="eastAsia" w:ascii="Times New Roman" w:hAnsi="Times New Roman" w:eastAsia="仿宋_GB2312"/>
          <w:sz w:val="32"/>
          <w:szCs w:val="40"/>
        </w:rPr>
        <w:t>目前，</w:t>
      </w:r>
      <w:r>
        <w:rPr>
          <w:rFonts w:ascii="Times New Roman" w:hAnsi="Times New Roman" w:eastAsia="仿宋_GB2312"/>
          <w:sz w:val="32"/>
          <w:szCs w:val="40"/>
        </w:rPr>
        <w:t>福建省三明市</w:t>
      </w:r>
      <w:r>
        <w:rPr>
          <w:rFonts w:hint="eastAsia" w:ascii="Times New Roman" w:hAnsi="Times New Roman" w:eastAsia="仿宋_GB2312"/>
          <w:sz w:val="32"/>
          <w:szCs w:val="40"/>
        </w:rPr>
        <w:t>整体监测硬件基础较为完备，</w:t>
      </w:r>
      <w:r>
        <w:rPr>
          <w:rFonts w:ascii="Times New Roman" w:hAnsi="Times New Roman" w:eastAsia="仿宋_GB2312"/>
          <w:sz w:val="32"/>
          <w:szCs w:val="40"/>
        </w:rPr>
        <w:t>监测覆盖</w:t>
      </w:r>
      <w:r>
        <w:rPr>
          <w:rFonts w:hint="eastAsia" w:ascii="Times New Roman" w:hAnsi="Times New Roman" w:eastAsia="仿宋_GB2312"/>
          <w:sz w:val="32"/>
          <w:szCs w:val="40"/>
        </w:rPr>
        <w:t>区域显著</w:t>
      </w:r>
      <w:r>
        <w:rPr>
          <w:rFonts w:ascii="Times New Roman" w:hAnsi="Times New Roman" w:eastAsia="仿宋_GB2312"/>
          <w:sz w:val="32"/>
          <w:szCs w:val="40"/>
        </w:rPr>
        <w:t>提升，</w:t>
      </w:r>
      <w:r>
        <w:rPr>
          <w:rFonts w:hint="eastAsia" w:ascii="Times New Roman" w:hAnsi="Times New Roman" w:eastAsia="仿宋_GB2312"/>
          <w:sz w:val="32"/>
          <w:szCs w:val="40"/>
          <w:lang w:eastAsia="zh-CN"/>
        </w:rPr>
        <w:t>但</w:t>
      </w:r>
      <w:r>
        <w:rPr>
          <w:rFonts w:hint="eastAsia" w:ascii="Times New Roman" w:hAnsi="Times New Roman" w:eastAsia="仿宋_GB2312"/>
          <w:sz w:val="32"/>
          <w:szCs w:val="40"/>
        </w:rPr>
        <w:t>监测</w:t>
      </w:r>
      <w:r>
        <w:rPr>
          <w:rFonts w:ascii="Times New Roman" w:hAnsi="Times New Roman" w:eastAsia="仿宋_GB2312"/>
          <w:sz w:val="32"/>
          <w:szCs w:val="40"/>
        </w:rPr>
        <w:t>覆盖盲区情况</w:t>
      </w:r>
      <w:r>
        <w:rPr>
          <w:rFonts w:hint="eastAsia" w:ascii="Times New Roman" w:hAnsi="Times New Roman" w:eastAsia="仿宋_GB2312"/>
          <w:sz w:val="32"/>
          <w:szCs w:val="40"/>
        </w:rPr>
        <w:t>不够清晰</w:t>
      </w:r>
      <w:r>
        <w:rPr>
          <w:rFonts w:ascii="Times New Roman" w:hAnsi="Times New Roman" w:eastAsia="仿宋_GB2312"/>
          <w:sz w:val="32"/>
          <w:szCs w:val="40"/>
        </w:rPr>
        <w:t>，</w:t>
      </w:r>
      <w:r>
        <w:rPr>
          <w:rFonts w:hint="eastAsia" w:ascii="Times New Roman" w:hAnsi="Times New Roman" w:eastAsia="仿宋_GB2312"/>
          <w:sz w:val="32"/>
          <w:szCs w:val="40"/>
        </w:rPr>
        <w:t>制约区域无线电监测网络整体效能提升</w:t>
      </w:r>
      <w:r>
        <w:rPr>
          <w:rFonts w:hint="eastAsia" w:ascii="Times New Roman" w:hAnsi="Times New Roman" w:eastAsia="仿宋_GB2312"/>
          <w:sz w:val="32"/>
          <w:szCs w:val="40"/>
          <w:lang w:eastAsia="zh-CN"/>
        </w:rPr>
        <w:t>，亟需</w:t>
      </w:r>
      <w:r>
        <w:rPr>
          <w:rFonts w:hint="eastAsia" w:ascii="Times New Roman" w:hAnsi="Times New Roman" w:eastAsia="仿宋_GB2312"/>
          <w:sz w:val="32"/>
          <w:szCs w:val="40"/>
        </w:rPr>
        <w:t>开展系统性</w:t>
      </w:r>
      <w:r>
        <w:rPr>
          <w:rFonts w:ascii="Times New Roman" w:hAnsi="Times New Roman" w:eastAsia="仿宋_GB2312"/>
          <w:sz w:val="32"/>
          <w:szCs w:val="40"/>
        </w:rPr>
        <w:t>监测覆盖范围</w:t>
      </w:r>
      <w:r>
        <w:rPr>
          <w:rFonts w:hint="eastAsia" w:ascii="Times New Roman" w:hAnsi="Times New Roman" w:eastAsia="仿宋_GB2312"/>
          <w:sz w:val="32"/>
          <w:szCs w:val="40"/>
        </w:rPr>
        <w:t>测试和</w:t>
      </w:r>
      <w:r>
        <w:rPr>
          <w:rFonts w:ascii="Times New Roman" w:hAnsi="Times New Roman" w:eastAsia="仿宋_GB2312"/>
          <w:sz w:val="32"/>
          <w:szCs w:val="40"/>
        </w:rPr>
        <w:t>分析</w:t>
      </w:r>
      <w:r>
        <w:rPr>
          <w:rFonts w:hint="eastAsia" w:ascii="Times New Roman" w:hAnsi="Times New Roman" w:eastAsia="仿宋_GB2312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40"/>
        </w:rPr>
        <w:t>精准指导后续站点改扩建和选址布局</w:t>
      </w:r>
      <w:r>
        <w:rPr>
          <w:rFonts w:hint="eastAsia" w:ascii="Times New Roman" w:hAnsi="Times New Roman" w:eastAsia="仿宋_GB2312"/>
          <w:sz w:val="32"/>
          <w:szCs w:val="40"/>
          <w:lang w:eastAsia="zh-CN"/>
        </w:rPr>
        <w:t>。</w:t>
      </w:r>
    </w:p>
    <w:bookmarkEnd w:id="0"/>
    <w:p w14:paraId="18586B48">
      <w:p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三、研究目标</w:t>
      </w:r>
    </w:p>
    <w:p w14:paraId="6BD30F4E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本研究</w:t>
      </w:r>
      <w:r>
        <w:rPr>
          <w:rFonts w:hint="eastAsia" w:ascii="Times New Roman" w:hAnsi="Times New Roman" w:eastAsia="仿宋_GB2312"/>
          <w:sz w:val="32"/>
          <w:szCs w:val="32"/>
        </w:rPr>
        <w:t>选取</w:t>
      </w:r>
      <w:r>
        <w:rPr>
          <w:rFonts w:ascii="Times New Roman" w:hAnsi="Times New Roman" w:eastAsia="仿宋_GB2312"/>
          <w:sz w:val="32"/>
          <w:szCs w:val="32"/>
        </w:rPr>
        <w:t>三明市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固</w:t>
      </w:r>
      <w:r>
        <w:rPr>
          <w:rFonts w:ascii="Times New Roman" w:hAnsi="Times New Roman" w:eastAsia="仿宋_GB2312"/>
          <w:sz w:val="32"/>
          <w:szCs w:val="32"/>
        </w:rPr>
        <w:t>定</w:t>
      </w:r>
      <w:r>
        <w:rPr>
          <w:rFonts w:hint="eastAsia" w:ascii="Times New Roman" w:hAnsi="Times New Roman" w:eastAsia="仿宋_GB2312"/>
          <w:sz w:val="32"/>
          <w:szCs w:val="32"/>
        </w:rPr>
        <w:t>无线电</w:t>
      </w:r>
      <w:r>
        <w:rPr>
          <w:rFonts w:ascii="Times New Roman" w:hAnsi="Times New Roman" w:eastAsia="仿宋_GB2312"/>
          <w:sz w:val="32"/>
          <w:szCs w:val="32"/>
        </w:rPr>
        <w:t>监测站，</w:t>
      </w:r>
      <w:r>
        <w:rPr>
          <w:rFonts w:hint="eastAsia" w:ascii="Times New Roman" w:hAnsi="Times New Roman" w:eastAsia="仿宋_GB2312"/>
          <w:sz w:val="32"/>
          <w:szCs w:val="32"/>
        </w:rPr>
        <w:t>对设备参数、</w:t>
      </w:r>
      <w:r>
        <w:rPr>
          <w:rFonts w:ascii="Times New Roman" w:hAnsi="Times New Roman" w:eastAsia="仿宋_GB2312"/>
          <w:sz w:val="32"/>
          <w:szCs w:val="32"/>
        </w:rPr>
        <w:t>系统功能及应用进行梳理，</w:t>
      </w:r>
      <w:r>
        <w:rPr>
          <w:rFonts w:hint="eastAsia" w:ascii="Times New Roman" w:hAnsi="Times New Roman" w:eastAsia="仿宋_GB2312"/>
          <w:sz w:val="32"/>
          <w:szCs w:val="32"/>
        </w:rPr>
        <w:t>依托电磁频谱仿真软件搭建电磁传播模型，结合实地收发测试校准模型精度，分析站点覆盖盲区影响范围，输出标准化可视化成果；最终形成站点布局优化、监测网络提质的实操建议，为无线电基础设施规划、日常频谱监管、重大赛事考试无线电保障提供技术支撑。</w:t>
      </w:r>
    </w:p>
    <w:p w14:paraId="7F7AEA4C">
      <w:pPr>
        <w:numPr>
          <w:ilvl w:val="0"/>
          <w:numId w:val="2"/>
        </w:num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服务内容</w:t>
      </w:r>
    </w:p>
    <w:p w14:paraId="0362E212">
      <w:pPr>
        <w:spacing w:line="640" w:lineRule="exact"/>
        <w:ind w:firstLine="643"/>
        <w:rPr>
          <w:rFonts w:ascii="Times New Roman" w:hAnsi="Times New Roman" w:eastAsia="仿宋_GB2312"/>
          <w:sz w:val="32"/>
          <w:szCs w:val="32"/>
        </w:rPr>
      </w:pP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（一）</w:t>
      </w:r>
      <w:r>
        <w:rPr>
          <w:rFonts w:hint="eastAsia" w:ascii="楷体_GB2312;楷体" w:hAnsi="楷体_GB2312;楷体" w:eastAsia="楷体_GB2312;楷体" w:cs="楷体_GB2312;楷体"/>
          <w:b/>
          <w:bCs/>
          <w:sz w:val="32"/>
          <w:szCs w:val="32"/>
        </w:rPr>
        <w:t>对</w:t>
      </w: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固定监测站建模仿真</w:t>
      </w:r>
    </w:p>
    <w:p w14:paraId="3A150102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收集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不少于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十个（含十个）</w:t>
      </w:r>
      <w:r>
        <w:rPr>
          <w:rFonts w:ascii="Times New Roman" w:hAnsi="Times New Roman" w:eastAsia="仿宋_GB2312"/>
          <w:sz w:val="32"/>
          <w:szCs w:val="32"/>
        </w:rPr>
        <w:t>固定</w:t>
      </w:r>
      <w:r>
        <w:rPr>
          <w:rFonts w:hint="eastAsia" w:ascii="Times New Roman" w:hAnsi="Times New Roman" w:eastAsia="仿宋_GB2312"/>
          <w:sz w:val="32"/>
          <w:szCs w:val="32"/>
        </w:rPr>
        <w:t>无线电</w:t>
      </w:r>
      <w:r>
        <w:rPr>
          <w:rFonts w:ascii="Times New Roman" w:hAnsi="Times New Roman" w:eastAsia="仿宋_GB2312"/>
          <w:sz w:val="32"/>
          <w:szCs w:val="32"/>
        </w:rPr>
        <w:t>监测站</w:t>
      </w:r>
      <w:r>
        <w:rPr>
          <w:rFonts w:hint="eastAsia" w:ascii="Times New Roman" w:hAnsi="Times New Roman" w:eastAsia="仿宋_GB2312"/>
          <w:sz w:val="32"/>
          <w:szCs w:val="32"/>
        </w:rPr>
        <w:t>坐标、设备参数、周边地形地貌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搭建适配本地地形的电磁传播模型；依托电磁频谱仿真软件开展场景模拟，划定监测覆盖盲区范围；输出覆盖热力图、单站覆盖范围统计表等可视化成果。</w:t>
      </w:r>
    </w:p>
    <w:p w14:paraId="493424C0">
      <w:pPr>
        <w:spacing w:line="640" w:lineRule="exact"/>
        <w:ind w:firstLine="643"/>
        <w:rPr>
          <w:rFonts w:ascii="Times New Roman" w:hAnsi="Times New Roman" w:eastAsia="仿宋_GB2312"/>
          <w:sz w:val="32"/>
          <w:szCs w:val="32"/>
        </w:rPr>
      </w:pP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（二）</w:t>
      </w:r>
      <w:r>
        <w:rPr>
          <w:rFonts w:hint="eastAsia" w:ascii="楷体_GB2312;楷体" w:hAnsi="楷体_GB2312;楷体" w:eastAsia="楷体_GB2312;楷体" w:cs="楷体_GB2312;楷体"/>
          <w:b/>
          <w:bCs/>
          <w:sz w:val="32"/>
          <w:szCs w:val="32"/>
        </w:rPr>
        <w:t>仿真结果外场实地测试验证</w:t>
      </w:r>
    </w:p>
    <w:p w14:paraId="175B9E1F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选取典型测试点位，利用信号发射、接收设备开展外场试验：发射不同频段的测试信号，由监测站点采集接收电平数据，将实测结果与仿真计算结果比对，校验仿真结论可靠性，形成实测校验数据表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0AC342F3">
      <w:pPr>
        <w:spacing w:line="640" w:lineRule="exact"/>
        <w:ind w:firstLine="643"/>
        <w:rPr>
          <w:rFonts w:ascii="Times New Roman" w:hAnsi="Times New Roman" w:eastAsia="仿宋_GB2312"/>
          <w:sz w:val="32"/>
          <w:szCs w:val="32"/>
        </w:rPr>
      </w:pP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（</w:t>
      </w:r>
      <w:r>
        <w:rPr>
          <w:rFonts w:hint="eastAsia" w:ascii="楷体_GB2312;楷体" w:hAnsi="楷体_GB2312;楷体" w:eastAsia="楷体_GB2312;楷体" w:cs="楷体_GB2312;楷体"/>
          <w:b/>
          <w:bCs/>
          <w:sz w:val="32"/>
          <w:szCs w:val="32"/>
        </w:rPr>
        <w:t>三</w:t>
      </w: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）</w:t>
      </w:r>
      <w:r>
        <w:rPr>
          <w:rFonts w:hint="eastAsia" w:ascii="楷体_GB2312;楷体" w:hAnsi="楷体_GB2312;楷体" w:eastAsia="楷体_GB2312;楷体" w:cs="楷体_GB2312;楷体"/>
          <w:b/>
          <w:bCs/>
          <w:sz w:val="32"/>
          <w:szCs w:val="32"/>
        </w:rPr>
        <w:t>输出监测网络优化方案</w:t>
      </w:r>
    </w:p>
    <w:p w14:paraId="4485EDB0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结合仿真数据、外场实测数据，针对盲区补点、现有天线参数调整、站点配套设施升级等方面给出可落地的优化建议，支撑后续站点新建、改建等立项工作。</w:t>
      </w:r>
    </w:p>
    <w:p w14:paraId="28B253BC">
      <w:pPr>
        <w:spacing w:line="640" w:lineRule="exact"/>
        <w:ind w:firstLine="643"/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</w:pP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（</w:t>
      </w:r>
      <w:r>
        <w:rPr>
          <w:rFonts w:hint="eastAsia" w:ascii="楷体_GB2312;楷体" w:hAnsi="楷体_GB2312;楷体" w:eastAsia="楷体_GB2312;楷体" w:cs="楷体_GB2312;楷体"/>
          <w:b/>
          <w:bCs/>
          <w:sz w:val="32"/>
          <w:szCs w:val="32"/>
        </w:rPr>
        <w:t>四</w:t>
      </w: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）</w:t>
      </w:r>
      <w:r>
        <w:rPr>
          <w:rFonts w:hint="eastAsia" w:ascii="楷体_GB2312;楷体" w:hAnsi="楷体_GB2312;楷体" w:eastAsia="楷体_GB2312;楷体" w:cs="楷体_GB2312;楷体"/>
          <w:b/>
          <w:bCs/>
          <w:sz w:val="32"/>
          <w:szCs w:val="32"/>
        </w:rPr>
        <w:t>交付</w:t>
      </w: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预期成果</w:t>
      </w:r>
    </w:p>
    <w:p w14:paraId="1F5A77DD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 正式研究报告：编制《固定监测站覆盖效能分析及站点优化研究报告》；</w:t>
      </w:r>
    </w:p>
    <w:p w14:paraId="3FF1C013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2.全套源文件：交付仿真结果文件、热力图、外场测试数据。</w:t>
      </w:r>
    </w:p>
    <w:p w14:paraId="47817589">
      <w:p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五、服务要求</w:t>
      </w:r>
    </w:p>
    <w:p w14:paraId="3EA1068E">
      <w:pPr>
        <w:spacing w:line="640" w:lineRule="exact"/>
        <w:ind w:firstLine="643"/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</w:pP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1.服务时间</w:t>
      </w:r>
    </w:p>
    <w:p w14:paraId="30B21090">
      <w:pPr>
        <w:spacing w:line="640" w:lineRule="exact"/>
        <w:ind w:firstLine="64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/>
          <w:sz w:val="32"/>
          <w:szCs w:val="32"/>
        </w:rPr>
        <w:t>年12月31日前</w:t>
      </w:r>
      <w:r>
        <w:rPr>
          <w:rFonts w:ascii="Times New Roman" w:hAnsi="Times New Roman" w:eastAsia="仿宋_GB2312"/>
          <w:color w:val="000000"/>
          <w:sz w:val="32"/>
          <w:szCs w:val="32"/>
        </w:rPr>
        <w:t>完成研究报告，2027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年3月31日前公开发表论文</w:t>
      </w:r>
      <w:r>
        <w:rPr>
          <w:rFonts w:ascii="Times New Roman" w:hAnsi="Times New Roman" w:eastAsia="仿宋_GB2312"/>
          <w:color w:val="000000"/>
          <w:sz w:val="32"/>
          <w:szCs w:val="32"/>
        </w:rPr>
        <w:t>。</w:t>
      </w:r>
    </w:p>
    <w:p w14:paraId="28605B3B">
      <w:pPr>
        <w:spacing w:line="640" w:lineRule="exact"/>
        <w:ind w:firstLine="643"/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</w:pPr>
      <w:r>
        <w:rPr>
          <w:rFonts w:ascii="楷体_GB2312;楷体" w:hAnsi="楷体_GB2312;楷体" w:eastAsia="楷体_GB2312;楷体" w:cs="楷体_GB2312;楷体"/>
          <w:b/>
          <w:bCs/>
          <w:sz w:val="32"/>
          <w:szCs w:val="32"/>
        </w:rPr>
        <w:t>2.其他要求</w:t>
      </w:r>
    </w:p>
    <w:p w14:paraId="57A3FC62">
      <w:pPr>
        <w:numPr>
          <w:ilvl w:val="0"/>
          <w:numId w:val="3"/>
        </w:numPr>
        <w:spacing w:line="640" w:lineRule="exact"/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服务供应商能够针对本项目组建专门的研究团队，具备相关技术能力。</w:t>
      </w:r>
    </w:p>
    <w:p w14:paraId="5C7F43EB">
      <w:pPr>
        <w:numPr>
          <w:ilvl w:val="0"/>
          <w:numId w:val="3"/>
        </w:numPr>
        <w:spacing w:line="640" w:lineRule="exact"/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服务供应商在实施过程中，应与采购人联系沟通并汇报工作，必要时应组织相关专家开展调研，发现问题及时上报。</w:t>
      </w:r>
    </w:p>
    <w:p w14:paraId="647A37F0">
      <w:pPr>
        <w:numPr>
          <w:ilvl w:val="0"/>
          <w:numId w:val="3"/>
        </w:numPr>
        <w:spacing w:line="640" w:lineRule="exact"/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服务供应商所提供的研究结论应有真实、可靠的数据作为支撑。</w:t>
      </w:r>
    </w:p>
    <w:p w14:paraId="7780D3B3">
      <w:pPr>
        <w:numPr>
          <w:ilvl w:val="0"/>
          <w:numId w:val="3"/>
        </w:numPr>
        <w:spacing w:line="640" w:lineRule="exact"/>
        <w:ind w:left="0"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服务供应商对执行本项目过程中知悉的涉密信息严加保密，不得将知悉的涉密信息和采购人提供的资料对外泄露。</w:t>
      </w:r>
    </w:p>
    <w:p w14:paraId="0B8709F1">
      <w:pPr>
        <w:autoSpaceDE w:val="0"/>
        <w:ind w:left="-2" w:firstLine="681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黑体" w:hAnsi="黑体" w:eastAsia="黑体" w:cs="宋体"/>
          <w:kern w:val="0"/>
          <w:sz w:val="32"/>
          <w:szCs w:val="32"/>
        </w:rPr>
        <w:t>六、付款方式</w:t>
      </w:r>
    </w:p>
    <w:p w14:paraId="4528DAE4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</w:t>
      </w:r>
      <w:r>
        <w:rPr>
          <w:rFonts w:ascii="Times New Roman" w:hAnsi="Times New Roman" w:eastAsia="仿宋_GB2312"/>
          <w:sz w:val="32"/>
          <w:szCs w:val="32"/>
        </w:rPr>
        <w:t>项目合同签订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支付比例分期付款。</w:t>
      </w:r>
      <w:r>
        <w:rPr>
          <w:rFonts w:ascii="Times New Roman" w:hAnsi="Times New Roman" w:eastAsia="仿宋_GB2312"/>
          <w:sz w:val="32"/>
          <w:szCs w:val="32"/>
        </w:rPr>
        <w:t>采购人支付款项前，供应商须提前提供等数额的发票给采购人。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供应商向采购人提供发票及支付申请后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10个工作日内，采购人向供应商支付相应合同款。</w:t>
      </w:r>
      <w:r>
        <w:rPr>
          <w:rFonts w:ascii="Times New Roman" w:hAnsi="Times New Roman" w:eastAsia="仿宋_GB2312"/>
          <w:sz w:val="32"/>
          <w:szCs w:val="32"/>
        </w:rPr>
        <w:t>如因供应商未及时提供等额发票，采购人不因此承担迟延付款的责任。</w:t>
      </w:r>
    </w:p>
    <w:p w14:paraId="545EDE85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采购人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按合同</w:t>
      </w:r>
      <w:r>
        <w:rPr>
          <w:rFonts w:ascii="Times New Roman" w:hAnsi="Times New Roman" w:eastAsia="仿宋_GB2312"/>
          <w:sz w:val="32"/>
          <w:szCs w:val="32"/>
        </w:rPr>
        <w:t>规定的付款时间，为向相关采购支付部门提出办理财政支付申请手续的时间（不含政府财政支付部门审核的时间）。</w:t>
      </w:r>
    </w:p>
    <w:p w14:paraId="4D9EC6D5">
      <w:pPr>
        <w:autoSpaceDE w:val="0"/>
        <w:ind w:firstLine="64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七</w:t>
      </w:r>
      <w:r>
        <w:rPr>
          <w:rFonts w:ascii="黑体" w:hAnsi="黑体" w:eastAsia="黑体" w:cs="宋体"/>
          <w:kern w:val="0"/>
          <w:sz w:val="32"/>
          <w:szCs w:val="32"/>
        </w:rPr>
        <w:t>、资格要求</w:t>
      </w:r>
    </w:p>
    <w:p w14:paraId="55A4BAEB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1.在中华人民共和国境内注册，具有独立承担民事责任的能力的高等院校、科研机构、企事业单位和社会团体。</w:t>
      </w:r>
    </w:p>
    <w:p w14:paraId="55DC9EC6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2.具有良好信誉，遵守国家有关法律法规和规章，参加本采购活动前3年内，在经营活动中没有重大违法记录行为。</w:t>
      </w:r>
    </w:p>
    <w:p w14:paraId="3A107AC5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3.研究团队长期参与无线电管理、频率规划等相关工作，具备1个以上无线电相关项目的服务案例。</w:t>
      </w:r>
    </w:p>
    <w:p w14:paraId="47648E80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4.课题研究团队总人数应不少于3个，具备高级以上职称（或同等任职资格）技术人员不少于1人，中级以上职称（或同等任职资格）不少于1人。</w:t>
      </w:r>
    </w:p>
    <w:p w14:paraId="15C973BE">
      <w:pPr>
        <w:spacing w:line="64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5.本项目不属于专门面向中小企业采购的项目。</w:t>
      </w:r>
    </w:p>
    <w:sectPr>
      <w:footerReference r:id="rId3" w:type="default"/>
      <w:pgSz w:w="11906" w:h="16838"/>
      <w:pgMar w:top="2098" w:right="1474" w:bottom="1985" w:left="1588" w:header="0" w:footer="1588" w:gutter="0"/>
      <w:pgNumType w:start="1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Noto Sans">
    <w:altName w:val="Noto Sans SC"/>
    <w:panose1 w:val="020B0502040504020204"/>
    <w:charset w:val="00"/>
    <w:family w:val="auto"/>
    <w:pitch w:val="default"/>
    <w:sig w:usb0="00000000" w:usb1="00000000" w:usb2="08000029" w:usb3="00100000" w:csb0="0000019F" w:csb1="00000000"/>
  </w:font>
  <w:font w:name="Liberation Serif">
    <w:altName w:val="仿宋_GB2312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仿宋_GB2312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;楷体">
    <w:altName w:val="楷体_GB2312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10D4B">
    <w:pPr>
      <w:pStyle w:val="11"/>
      <w:jc w:val="center"/>
      <w:rPr>
        <w:rFonts w:ascii="Times New Roman" w:hAnsi="Times New Roman" w:eastAsia="仿宋_GB2312"/>
      </w:rPr>
    </w:pPr>
    <w:r>
      <w:rPr>
        <w:rFonts w:ascii="Times New Roman" w:hAnsi="Times New Roman" w:eastAsia="仿宋_GB2312"/>
      </w:rPr>
      <w:fldChar w:fldCharType="begin"/>
    </w:r>
    <w:r>
      <w:rPr>
        <w:rFonts w:ascii="Times New Roman" w:hAnsi="Times New Roman" w:eastAsia="仿宋_GB2312"/>
      </w:rPr>
      <w:instrText xml:space="preserve"> PAGE </w:instrText>
    </w:r>
    <w:r>
      <w:rPr>
        <w:rFonts w:ascii="Times New Roman" w:hAnsi="Times New Roman" w:eastAsia="仿宋_GB2312"/>
      </w:rPr>
      <w:fldChar w:fldCharType="separate"/>
    </w:r>
    <w:r>
      <w:rPr>
        <w:rFonts w:ascii="Times New Roman" w:hAnsi="Times New Roman" w:eastAsia="仿宋_GB2312"/>
      </w:rPr>
      <w:t>4</w:t>
    </w:r>
    <w:r>
      <w:rPr>
        <w:rFonts w:ascii="Times New Roman" w:hAnsi="Times New Roman" w:eastAsia="仿宋_GB231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54E35"/>
    <w:multiLevelType w:val="multilevel"/>
    <w:tmpl w:val="0D354E35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425" w:hanging="425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48EC4962"/>
    <w:multiLevelType w:val="multilevel"/>
    <w:tmpl w:val="48EC4962"/>
    <w:lvl w:ilvl="0" w:tentative="0">
      <w:start w:val="4"/>
      <w:numFmt w:val="chineseCountingThousand"/>
      <w:suff w:val="nothing"/>
      <w:lvlText w:val="%1、"/>
      <w:lvlJc w:val="left"/>
      <w:pPr>
        <w:tabs>
          <w:tab w:val="left" w:pos="0"/>
        </w:tabs>
        <w:ind w:left="0" w:firstLine="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5B370AF9"/>
    <w:multiLevelType w:val="multilevel"/>
    <w:tmpl w:val="5B370AF9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709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98"/>
    <w:rsid w:val="00031485"/>
    <w:rsid w:val="000A3522"/>
    <w:rsid w:val="000C21B8"/>
    <w:rsid w:val="001403D9"/>
    <w:rsid w:val="001502A3"/>
    <w:rsid w:val="0018081D"/>
    <w:rsid w:val="00186983"/>
    <w:rsid w:val="0018745E"/>
    <w:rsid w:val="00190271"/>
    <w:rsid w:val="001B49BF"/>
    <w:rsid w:val="001D6E8A"/>
    <w:rsid w:val="0022602E"/>
    <w:rsid w:val="002512DB"/>
    <w:rsid w:val="002623DB"/>
    <w:rsid w:val="00315FD8"/>
    <w:rsid w:val="00326914"/>
    <w:rsid w:val="00413AC1"/>
    <w:rsid w:val="00486663"/>
    <w:rsid w:val="00490196"/>
    <w:rsid w:val="004C25D0"/>
    <w:rsid w:val="004E66B2"/>
    <w:rsid w:val="004F2B8C"/>
    <w:rsid w:val="00573586"/>
    <w:rsid w:val="006038B5"/>
    <w:rsid w:val="00621320"/>
    <w:rsid w:val="00641872"/>
    <w:rsid w:val="00685998"/>
    <w:rsid w:val="00705699"/>
    <w:rsid w:val="00741D75"/>
    <w:rsid w:val="00765817"/>
    <w:rsid w:val="007C0193"/>
    <w:rsid w:val="00955E51"/>
    <w:rsid w:val="009C7980"/>
    <w:rsid w:val="009E7B43"/>
    <w:rsid w:val="00A31E90"/>
    <w:rsid w:val="00AF24BA"/>
    <w:rsid w:val="00B54A3B"/>
    <w:rsid w:val="00BC6F08"/>
    <w:rsid w:val="00BD3FB9"/>
    <w:rsid w:val="00C277E6"/>
    <w:rsid w:val="00C3262F"/>
    <w:rsid w:val="00C7139B"/>
    <w:rsid w:val="00CD31AD"/>
    <w:rsid w:val="00CD4334"/>
    <w:rsid w:val="00D04DA9"/>
    <w:rsid w:val="00D50D0F"/>
    <w:rsid w:val="00D65C12"/>
    <w:rsid w:val="00E52232"/>
    <w:rsid w:val="09276D3B"/>
    <w:rsid w:val="347C4AA7"/>
    <w:rsid w:val="387F2CC1"/>
    <w:rsid w:val="3FEF40FD"/>
    <w:rsid w:val="5EBF5C2F"/>
    <w:rsid w:val="687354EB"/>
    <w:rsid w:val="690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bCs/>
      <w:sz w:val="44"/>
      <w:szCs w:val="44"/>
      <w:lang w:val="zh-CN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Cambria" w:hAnsi="Cambria" w:cs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4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Document Map"/>
    <w:basedOn w:val="1"/>
    <w:qFormat/>
    <w:uiPriority w:val="0"/>
    <w:rPr>
      <w:rFonts w:ascii="宋体" w:hAnsi="宋体"/>
      <w:kern w:val="0"/>
      <w:sz w:val="18"/>
      <w:szCs w:val="18"/>
      <w:lang w:val="zh-CN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"/>
    <w:basedOn w:val="1"/>
    <w:qFormat/>
    <w:uiPriority w:val="0"/>
    <w:pPr>
      <w:spacing w:after="140" w:line="276" w:lineRule="auto"/>
    </w:pPr>
  </w:style>
  <w:style w:type="paragraph" w:styleId="10">
    <w:name w:val="Balloon Text"/>
    <w:basedOn w:val="1"/>
    <w:qFormat/>
    <w:uiPriority w:val="0"/>
    <w:rPr>
      <w:kern w:val="0"/>
      <w:sz w:val="18"/>
      <w:szCs w:val="18"/>
      <w:lang w:val="zh-CN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2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3">
    <w:name w:val="List"/>
    <w:basedOn w:val="9"/>
    <w:qFormat/>
    <w:uiPriority w:val="0"/>
    <w:rPr>
      <w:rFonts w:cs="Lucida Sans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kern w:val="0"/>
      <w:sz w:val="18"/>
      <w:szCs w:val="18"/>
      <w:lang w:val="zh-CN"/>
    </w:rPr>
  </w:style>
  <w:style w:type="paragraph" w:styleId="15">
    <w:name w:val="Normal (Web)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customStyle="1" w:styleId="19">
    <w:name w:val="WW8Num1z0"/>
    <w:qFormat/>
    <w:uiPriority w:val="0"/>
  </w:style>
  <w:style w:type="character" w:customStyle="1" w:styleId="20">
    <w:name w:val="WW8Num2z0"/>
    <w:qFormat/>
    <w:uiPriority w:val="0"/>
  </w:style>
  <w:style w:type="character" w:customStyle="1" w:styleId="21">
    <w:name w:val="标题 1 字符"/>
    <w:qFormat/>
    <w:uiPriority w:val="0"/>
    <w:rPr>
      <w:b/>
      <w:bCs/>
      <w:kern w:val="2"/>
      <w:sz w:val="44"/>
      <w:szCs w:val="44"/>
    </w:rPr>
  </w:style>
  <w:style w:type="character" w:customStyle="1" w:styleId="22">
    <w:name w:val="标题 2 字符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23">
    <w:name w:val="标题 3 字符"/>
    <w:qFormat/>
    <w:uiPriority w:val="0"/>
    <w:rPr>
      <w:b/>
      <w:bCs/>
      <w:sz w:val="32"/>
      <w:szCs w:val="32"/>
    </w:rPr>
  </w:style>
  <w:style w:type="character" w:customStyle="1" w:styleId="24">
    <w:name w:val="标题 4 字符"/>
    <w:qFormat/>
    <w:uiPriority w:val="0"/>
    <w:rPr>
      <w:rFonts w:ascii="Calibri Light" w:hAnsi="Calibri Light" w:eastAsia="宋体" w:cs="Times New Roman"/>
      <w:b/>
      <w:bCs/>
      <w:kern w:val="2"/>
      <w:sz w:val="28"/>
      <w:szCs w:val="28"/>
    </w:rPr>
  </w:style>
  <w:style w:type="character" w:customStyle="1" w:styleId="25">
    <w:name w:val="文档结构图 字符"/>
    <w:qFormat/>
    <w:uiPriority w:val="0"/>
    <w:rPr>
      <w:rFonts w:ascii="宋体" w:hAnsi="宋体" w:eastAsia="宋体"/>
      <w:sz w:val="18"/>
      <w:szCs w:val="18"/>
    </w:rPr>
  </w:style>
  <w:style w:type="character" w:customStyle="1" w:styleId="26">
    <w:name w:val="批注框文本 字符"/>
    <w:qFormat/>
    <w:uiPriority w:val="0"/>
    <w:rPr>
      <w:sz w:val="18"/>
      <w:szCs w:val="18"/>
    </w:rPr>
  </w:style>
  <w:style w:type="character" w:customStyle="1" w:styleId="27">
    <w:name w:val="页脚 字符"/>
    <w:qFormat/>
    <w:uiPriority w:val="0"/>
    <w:rPr>
      <w:sz w:val="18"/>
      <w:szCs w:val="18"/>
    </w:rPr>
  </w:style>
  <w:style w:type="character" w:customStyle="1" w:styleId="28">
    <w:name w:val="页眉 字符"/>
    <w:qFormat/>
    <w:uiPriority w:val="0"/>
    <w:rPr>
      <w:sz w:val="18"/>
      <w:szCs w:val="18"/>
    </w:rPr>
  </w:style>
  <w:style w:type="character" w:customStyle="1" w:styleId="29">
    <w:name w:val="脚注文本 字符"/>
    <w:qFormat/>
    <w:uiPriority w:val="0"/>
    <w:rPr>
      <w:sz w:val="18"/>
      <w:szCs w:val="18"/>
    </w:rPr>
  </w:style>
  <w:style w:type="character" w:customStyle="1" w:styleId="30">
    <w:name w:val="Footnote Characters"/>
    <w:qFormat/>
    <w:uiPriority w:val="0"/>
    <w:rPr>
      <w:vertAlign w:val="superscript"/>
    </w:rPr>
  </w:style>
  <w:style w:type="character" w:customStyle="1" w:styleId="31">
    <w:name w:val="apple-converted-space"/>
    <w:basedOn w:val="17"/>
    <w:qFormat/>
    <w:uiPriority w:val="0"/>
  </w:style>
  <w:style w:type="paragraph" w:customStyle="1" w:styleId="32">
    <w:name w:val="Heading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customStyle="1" w:styleId="33">
    <w:name w:val="Index"/>
    <w:basedOn w:val="1"/>
    <w:qFormat/>
    <w:uiPriority w:val="0"/>
    <w:pPr>
      <w:suppressLineNumbers/>
    </w:pPr>
    <w:rPr>
      <w:rFonts w:cs="Lucida Sans"/>
    </w:rPr>
  </w:style>
  <w:style w:type="paragraph" w:customStyle="1" w:styleId="34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styleId="35">
    <w:name w:val="List Paragraph"/>
    <w:basedOn w:val="1"/>
    <w:qFormat/>
    <w:uiPriority w:val="0"/>
    <w:pPr>
      <w:ind w:firstLine="420"/>
    </w:pPr>
  </w:style>
  <w:style w:type="paragraph" w:customStyle="1" w:styleId="36">
    <w:name w:val="修订1"/>
    <w:qFormat/>
    <w:uiPriority w:val="0"/>
    <w:pPr>
      <w:suppressAutoHyphens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黑体"/>
        <a:cs typeface="DejaVu Sans"/>
      </a:majorFont>
      <a:minorFont>
        <a:latin typeface="Arial"/>
        <a:ea typeface="宋体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1376</Words>
  <Characters>1395</Characters>
  <Lines>11</Lines>
  <Paragraphs>3</Paragraphs>
  <TotalTime>92</TotalTime>
  <ScaleCrop>false</ScaleCrop>
  <LinksUpToDate>false</LinksUpToDate>
  <CharactersWithSpaces>1396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2026-07-16T01:00:00Z</dcterms:created>
  <dc:creator>user</dc:creator>
  <cp:lastModifiedBy>谢剑平</cp:lastModifiedBy>
  <cp:lastPrinted>2020-08-16T00:08:00Z</cp:lastPrinted>
  <dcterms:modified xsi:type="dcterms:W3CDTF">2026-07-27T03:41:10Z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88CB16AE62EF454898520788E379795F_13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eyJoZGlkIjoiOTc3M2Y5NzIzMDFlZjAyY2Q4Njk5ODkyYjFjNzBiNTQiLCJ1c2VySWQiOiI3MjQ2ODA1MjgifQ==</vt:lpwstr>
  </property>
</Properties>
</file>