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600" w:lineRule="exact"/>
        <w:rPr>
          <w:rFonts w:ascii="方正小标宋简体" w:eastAsia="方正小标宋简体" w:cs="宋体"/>
          <w:b/>
          <w:kern w:val="0"/>
          <w:sz w:val="44"/>
          <w:szCs w:val="44"/>
        </w:rPr>
      </w:pPr>
    </w:p>
    <w:p>
      <w:pPr>
        <w:autoSpaceDE w:val="0"/>
        <w:autoSpaceDN w:val="0"/>
        <w:adjustRightInd w:val="0"/>
        <w:spacing w:line="600" w:lineRule="exact"/>
        <w:jc w:val="center"/>
        <w:rPr>
          <w:rFonts w:hint="eastAsia" w:ascii="方正小标宋简体" w:hAnsi="方正小标宋简体" w:eastAsia="方正小标宋简体" w:cs="方正小标宋简体"/>
          <w:bCs/>
          <w:color w:val="auto"/>
          <w:kern w:val="0"/>
          <w:sz w:val="44"/>
          <w:szCs w:val="44"/>
        </w:rPr>
      </w:pPr>
      <w:r>
        <w:rPr>
          <w:rFonts w:hint="eastAsia" w:ascii="方正小标宋简体" w:hAnsi="方正小标宋简体" w:eastAsia="方正小标宋简体" w:cs="方正小标宋简体"/>
          <w:bCs/>
          <w:i w:val="0"/>
          <w:iCs w:val="0"/>
          <w:caps w:val="0"/>
          <w:color w:val="auto"/>
          <w:spacing w:val="0"/>
          <w:kern w:val="0"/>
          <w:sz w:val="44"/>
          <w:szCs w:val="44"/>
          <w:shd w:val="clear"/>
        </w:rPr>
        <w:t>厦门市无线电管理局空中智能无线电监测站实现探索服务内容及要求</w:t>
      </w:r>
    </w:p>
    <w:p>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p>
    <w:p>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一、项目名称</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cs="宋体"/>
          <w:color w:val="000000"/>
          <w:kern w:val="0"/>
          <w:sz w:val="32"/>
          <w:szCs w:val="32"/>
          <w:lang w:eastAsia="zh-CN"/>
        </w:rPr>
        <w:t>厦门市无线电管理局</w:t>
      </w:r>
      <w:r>
        <w:rPr>
          <w:rFonts w:hint="eastAsia" w:ascii="仿宋_GB2312" w:eastAsia="仿宋_GB2312" w:cs="宋体"/>
          <w:color w:val="000000"/>
          <w:kern w:val="0"/>
          <w:sz w:val="32"/>
          <w:szCs w:val="32"/>
        </w:rPr>
        <w:t>空中智能无线电监测站实现探索</w:t>
      </w:r>
      <w:bookmarkStart w:id="0" w:name="_GoBack"/>
      <w:bookmarkEnd w:id="0"/>
      <w:r>
        <w:rPr>
          <w:rFonts w:hint="eastAsia" w:ascii="仿宋_GB2312" w:eastAsia="仿宋_GB2312" w:cs="宋体"/>
          <w:color w:val="000000"/>
          <w:kern w:val="0"/>
          <w:sz w:val="32"/>
          <w:szCs w:val="32"/>
          <w:lang w:eastAsia="zh-CN"/>
        </w:rPr>
        <w:t>服务</w:t>
      </w:r>
      <w:r>
        <w:rPr>
          <w:rFonts w:hint="eastAsia" w:ascii="仿宋_GB2312" w:eastAsia="仿宋_GB2312" w:cs="宋体"/>
          <w:color w:val="000000"/>
          <w:kern w:val="0"/>
          <w:sz w:val="32"/>
          <w:szCs w:val="32"/>
        </w:rPr>
        <w:t>。</w:t>
      </w:r>
    </w:p>
    <w:p>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二、主要目标</w:t>
      </w:r>
    </w:p>
    <w:p>
      <w:pPr>
        <w:pStyle w:val="11"/>
        <w:ind w:left="0" w:firstLine="640" w:firstLineChars="200"/>
        <w:rPr>
          <w:rFonts w:ascii="仿宋_GB2312" w:eastAsia="仿宋_GB2312" w:cs="宋体"/>
          <w:color w:val="000000"/>
          <w:kern w:val="0"/>
          <w:sz w:val="32"/>
          <w:szCs w:val="32"/>
        </w:rPr>
      </w:pPr>
      <w:r>
        <w:rPr>
          <w:rFonts w:hint="eastAsia" w:ascii="仿宋_GB2312" w:eastAsia="仿宋_GB2312" w:cs="宋体"/>
          <w:color w:val="000000"/>
          <w:kern w:val="0"/>
          <w:sz w:val="32"/>
          <w:szCs w:val="32"/>
        </w:rPr>
        <w:t>1.通过实测验证以无人机平台搭载监测测向系统实现对空中电磁环境长时间、全方位、高精度的监测与数据采集以及对空中或地面电磁干扰源的快速定位、识别与评估的技术可行性，梳理技术应用优势与现存问题；</w:t>
      </w:r>
    </w:p>
    <w:p>
      <w:pPr>
        <w:pStyle w:val="11"/>
        <w:ind w:left="0" w:firstLine="640" w:firstLineChars="200"/>
        <w:rPr>
          <w:rFonts w:ascii="仿宋_GB2312" w:eastAsia="仿宋_GB2312" w:cs="宋体"/>
          <w:color w:val="000000"/>
          <w:kern w:val="0"/>
          <w:sz w:val="32"/>
          <w:szCs w:val="32"/>
        </w:rPr>
      </w:pPr>
      <w:r>
        <w:rPr>
          <w:rFonts w:hint="eastAsia" w:ascii="仿宋_GB2312" w:eastAsia="仿宋_GB2312" w:cs="宋体"/>
          <w:color w:val="000000"/>
          <w:kern w:val="0"/>
          <w:sz w:val="32"/>
          <w:szCs w:val="32"/>
        </w:rPr>
        <w:t>2.验证无人机飞控系统、动力系统与无线电监测测向设备之间的电磁兼容性，量化相互干扰水平，明确适配优化方向；</w:t>
      </w:r>
    </w:p>
    <w:p>
      <w:pPr>
        <w:pStyle w:val="11"/>
        <w:ind w:left="0" w:firstLine="640" w:firstLineChars="200"/>
        <w:rPr>
          <w:rFonts w:ascii="仿宋_GB2312" w:eastAsia="仿宋_GB2312" w:cs="宋体"/>
          <w:color w:val="000000"/>
          <w:kern w:val="0"/>
          <w:sz w:val="32"/>
          <w:szCs w:val="32"/>
        </w:rPr>
      </w:pPr>
      <w:r>
        <w:rPr>
          <w:rFonts w:hint="eastAsia" w:ascii="仿宋_GB2312" w:eastAsia="仿宋_GB2312" w:cs="宋体"/>
          <w:color w:val="000000"/>
          <w:kern w:val="0"/>
          <w:sz w:val="32"/>
          <w:szCs w:val="32"/>
        </w:rPr>
        <w:t>3.采集完整的实测数据，通过数据分析预测潜在电磁干扰风险，为无线电管理部门制定电磁环境保护政策、优化频谱资源配置提供科学依据。</w:t>
      </w:r>
    </w:p>
    <w:p>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三、服务内容</w:t>
      </w:r>
    </w:p>
    <w:p>
      <w:pPr>
        <w:autoSpaceDE w:val="0"/>
        <w:autoSpaceDN w:val="0"/>
        <w:adjustRightInd w:val="0"/>
        <w:spacing w:line="600" w:lineRule="exact"/>
        <w:ind w:firstLine="643" w:firstLineChars="200"/>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（一）软硬件设施要求</w:t>
      </w:r>
    </w:p>
    <w:p>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1.硬件要求</w:t>
      </w:r>
    </w:p>
    <w:p>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①提供1套满足要求的测试用无人机平台：需满足最大起飞重量不高于25kg、单次飞行续航时间不低于1小时，符合国内低空飞行管理规定，具备可靠的数传链路保障测试数据实时回传，无人机</w:t>
      </w:r>
      <w:r>
        <w:rPr>
          <w:rFonts w:hint="eastAsia" w:ascii="仿宋_GB2312" w:eastAsia="仿宋_GB2312" w:cs="DejaVuSans" w:hAnsiTheme="minorHAnsi"/>
          <w:color w:val="000000"/>
          <w:kern w:val="0"/>
          <w:sz w:val="32"/>
          <w:szCs w:val="32"/>
        </w:rPr>
        <w:t>遥控及数传链路可靠通信距离不低于20km（视距无遮挡）</w:t>
      </w:r>
      <w:r>
        <w:rPr>
          <w:rFonts w:hint="eastAsia" w:ascii="仿宋_GB2312" w:eastAsia="仿宋_GB2312" w:cs="DejaVuSans"/>
          <w:color w:val="000000"/>
          <w:kern w:val="0"/>
          <w:sz w:val="32"/>
          <w:szCs w:val="32"/>
        </w:rPr>
        <w:t>；</w:t>
      </w:r>
    </w:p>
    <w:p>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②测试无人机需集成专业无线电监测测向设备：监测测向频段覆盖范围不低于30MHz-8GHz，支持幅度干涉仪/相关干涉仪测向体制，测向精度优于3°RMS，配套轻量化安装减震支架与独立供电系统；</w:t>
      </w:r>
    </w:p>
    <w:p>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2.软件要求</w:t>
      </w:r>
    </w:p>
    <w:p>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提供专用数据采集与展示软件，支持实时频谱瀑布图绘制、测向结果可视化展示、干扰源位置GIS标注、原始I/Q数据与测向结果存储导出；</w:t>
      </w:r>
    </w:p>
    <w:p>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软件支持对测试数据进行统计分析，可自动生成频谱占用度、底噪变化曲线等分析图表，支持导出分析报告；</w:t>
      </w:r>
    </w:p>
    <w:p>
      <w:pPr>
        <w:autoSpaceDE w:val="0"/>
        <w:autoSpaceDN w:val="0"/>
        <w:adjustRightInd w:val="0"/>
        <w:spacing w:line="600" w:lineRule="exact"/>
        <w:ind w:firstLine="643" w:firstLineChars="200"/>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（二）监测场景要求</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需在厦门市行政区域内完成至少1次飞行测试，测试需完成以下任务：</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1.针对移动通信、广播电视等常用频段开展巡航监测，模拟城市干扰排查场景；</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2.设置已知功率、已知位置的标定信号源，定量测试系统监测灵敏度和测向精度以及信号源定位准确度；</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3.在厦门近海岸空域开展测试，针对船舶通信、导航频段开展监测，验证海面多径环境下的系统性能。</w:t>
      </w:r>
    </w:p>
    <w:p>
      <w:pPr>
        <w:autoSpaceDE w:val="0"/>
        <w:autoSpaceDN w:val="0"/>
        <w:adjustRightInd w:val="0"/>
        <w:spacing w:line="600" w:lineRule="exact"/>
        <w:ind w:firstLine="643" w:firstLineChars="200"/>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（三）监测功能要求</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开展不同工况性能测试：在无人机不同飞行高度、不同飞行速度下，分别测试无线电监测设备的接收灵敏度、测向精度，完整记录对应数据；</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开展双向电磁兼容测试：分别测试①无人机待机/飞行状态下，监测接收设备底噪抬升量；②监测设备全功率工作状态下，无人机飞控、数传链路的误码率变化，量化双向干扰水平，完整记录测试数据；</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开展实际应用验证测试：设置模拟未知干扰源，验证系统对信号的捕捉、测向、定位全流程能力，记录定位误差与响应时间。</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（四）EMC测试要求</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需在电波暗室中对测试用无人机进行EMC测试，掌握无人机在待机及工作状态下的整机电磁辐射情况，提供EMC测试报告。</w:t>
      </w:r>
    </w:p>
    <w:p>
      <w:pPr>
        <w:autoSpaceDE w:val="0"/>
        <w:autoSpaceDN w:val="0"/>
        <w:adjustRightInd w:val="0"/>
        <w:spacing w:line="600" w:lineRule="exact"/>
        <w:ind w:firstLine="643" w:firstLineChars="200"/>
        <w:rPr>
          <w:rFonts w:ascii="仿宋_GB2312" w:hAnsi="Times New Roman" w:eastAsia="仿宋_GB2312" w:cs="DejaVuSans"/>
          <w:b/>
          <w:bCs/>
          <w:color w:val="000000"/>
          <w:kern w:val="0"/>
          <w:sz w:val="32"/>
          <w:szCs w:val="32"/>
        </w:rPr>
      </w:pPr>
      <w:r>
        <w:rPr>
          <w:rFonts w:hint="eastAsia" w:ascii="仿宋_GB2312" w:hAnsi="Times New Roman" w:eastAsia="仿宋_GB2312" w:cs="DejaVuSans"/>
          <w:b/>
          <w:bCs/>
          <w:color w:val="000000"/>
          <w:kern w:val="0"/>
          <w:sz w:val="32"/>
          <w:szCs w:val="32"/>
        </w:rPr>
        <w:t>（五）研究成果</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1.符合课题结题要求的完整《</w:t>
      </w:r>
      <w:r>
        <w:rPr>
          <w:rFonts w:hint="eastAsia" w:ascii="仿宋_GB2312" w:eastAsia="仿宋_GB2312" w:cs="宋体"/>
          <w:color w:val="000000"/>
          <w:kern w:val="0"/>
          <w:sz w:val="32"/>
          <w:szCs w:val="32"/>
        </w:rPr>
        <w:t>空中智能无线电监测站实现探索</w:t>
      </w:r>
      <w:r>
        <w:rPr>
          <w:rFonts w:hint="eastAsia" w:ascii="仿宋_GB2312" w:hAnsi="Times New Roman" w:eastAsia="仿宋_GB2312" w:cs="DejaVuSans"/>
          <w:color w:val="000000"/>
          <w:kern w:val="0"/>
          <w:sz w:val="32"/>
          <w:szCs w:val="32"/>
        </w:rPr>
        <w:t>研究报告》1份，报告需包含研究背景、测试方案、实施情况、数据统计与结论、存在问题及意见建议；</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2.所有测试场景下的原始监测测向数据、电磁兼容测试数据（提供原始格式+解析后通用格式电子文件，存储于U盘/移动硬盘交付）；</w:t>
      </w:r>
    </w:p>
    <w:p>
      <w:pPr>
        <w:autoSpaceDE w:val="0"/>
        <w:autoSpaceDN w:val="0"/>
        <w:adjustRightInd w:val="0"/>
        <w:spacing w:line="600" w:lineRule="exact"/>
        <w:ind w:firstLine="640" w:firstLineChars="200"/>
        <w:rPr>
          <w:rFonts w:ascii="仿宋_GB2312" w:hAnsi="Times New Roman" w:eastAsia="仿宋_GB2312" w:cs="DejaVuSans"/>
          <w:b/>
          <w:bCs/>
          <w:color w:val="000000"/>
          <w:kern w:val="0"/>
          <w:sz w:val="32"/>
          <w:szCs w:val="32"/>
        </w:rPr>
      </w:pPr>
      <w:r>
        <w:rPr>
          <w:rFonts w:hint="eastAsia" w:ascii="仿宋_GB2312" w:hAnsi="Times New Roman" w:eastAsia="仿宋_GB2312" w:cs="DejaVuSans"/>
          <w:color w:val="000000"/>
          <w:kern w:val="0"/>
          <w:sz w:val="32"/>
          <w:szCs w:val="32"/>
        </w:rPr>
        <w:t>3.功能完整的监测数据展示分析软件，能够实现频谱、IQ回放、频谱抽取及数据分析等功能，配套安装使用说明文档。</w:t>
      </w:r>
    </w:p>
    <w:p>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四、服务要求</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1.</w:t>
      </w:r>
      <w:r>
        <w:rPr>
          <w:rFonts w:hint="eastAsia" w:ascii="仿宋_GB2312" w:eastAsia="仿宋_GB2312" w:cs="DejaVuSans"/>
          <w:color w:val="000000"/>
          <w:kern w:val="0"/>
          <w:sz w:val="32"/>
          <w:szCs w:val="32"/>
        </w:rPr>
        <w:t>服务时间：合同签订日起至2026年11月30日。</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2.服务提供方需具</w:t>
      </w:r>
      <w:r>
        <w:rPr>
          <w:rFonts w:hint="eastAsia" w:ascii="仿宋_GB2312" w:eastAsia="仿宋_GB2312" w:cs="宋体" w:hAnsiTheme="minorHAnsi"/>
          <w:color w:val="000000"/>
          <w:kern w:val="0"/>
          <w:sz w:val="32"/>
          <w:szCs w:val="32"/>
        </w:rPr>
        <w:t>备</w:t>
      </w:r>
      <w:r>
        <w:rPr>
          <w:rFonts w:hint="eastAsia" w:ascii="仿宋_GB2312" w:eastAsia="仿宋_GB2312" w:cs="宋体"/>
          <w:color w:val="000000"/>
          <w:kern w:val="0"/>
          <w:sz w:val="32"/>
          <w:szCs w:val="32"/>
        </w:rPr>
        <w:t>无人机平台搭载监测测向系统的实际</w:t>
      </w:r>
      <w:r>
        <w:rPr>
          <w:rFonts w:hint="eastAsia" w:ascii="仿宋_GB2312" w:eastAsia="仿宋_GB2312" w:cs="宋体" w:hAnsiTheme="minorHAnsi"/>
          <w:color w:val="000000"/>
          <w:kern w:val="0"/>
          <w:sz w:val="32"/>
          <w:szCs w:val="32"/>
        </w:rPr>
        <w:t>产品（须提供产品实物照片）和实际合同项目案例（须提供案例证明材料，如销售合同等）。服务提供方负</w:t>
      </w:r>
      <w:r>
        <w:rPr>
          <w:rFonts w:hint="eastAsia" w:ascii="仿宋_GB2312" w:hAnsi="Times New Roman" w:eastAsia="仿宋_GB2312" w:cs="DejaVuSans"/>
          <w:color w:val="000000"/>
          <w:kern w:val="0"/>
          <w:sz w:val="32"/>
          <w:szCs w:val="32"/>
        </w:rPr>
        <w:t>责协调并提供适合的监测场地和场景，做好安装搭建条件评估和准备工作；完成测试空域申请、飞行安全保障等全部工作。协调和使用监测场景、EMC测试所需费用（包括但不限于车辆租赁费、场地使用费以及其他服务费等）由服务供应商支付，包含在报价中；</w:t>
      </w:r>
    </w:p>
    <w:p>
      <w:pPr>
        <w:autoSpaceDE w:val="0"/>
        <w:autoSpaceDN w:val="0"/>
        <w:adjustRightInd w:val="0"/>
        <w:spacing w:line="600" w:lineRule="exact"/>
        <w:ind w:left="-2" w:leftChars="-1" w:firstLine="704" w:firstLineChars="22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3.测试过程需配合采购方全程参与，承担测试过程中的安全责任</w:t>
      </w:r>
      <w:r>
        <w:rPr>
          <w:rFonts w:hint="eastAsia" w:ascii="仿宋_GB2312" w:eastAsia="仿宋_GB2312" w:cs="宋体"/>
          <w:color w:val="000000"/>
          <w:kern w:val="0"/>
          <w:sz w:val="32"/>
          <w:szCs w:val="32"/>
        </w:rPr>
        <w:t>（包括但不限于自身人员安全以及设备安全等），采购人不对服务供应商安全负责。服务供应商应加强与采购人联系沟通及汇报工作，发现问题及时上报。</w:t>
      </w:r>
    </w:p>
    <w:p>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4.服务过程需严格遵守厦门市无线电管理、低空飞行管理的相关规定，杜绝违规作业。</w:t>
      </w:r>
    </w:p>
    <w:p>
      <w:pPr>
        <w:autoSpaceDE w:val="0"/>
        <w:autoSpaceDN w:val="0"/>
        <w:adjustRightInd w:val="0"/>
        <w:spacing w:line="600" w:lineRule="exact"/>
        <w:ind w:left="-2" w:leftChars="-1" w:firstLine="704" w:firstLineChars="22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5.</w:t>
      </w:r>
      <w:r>
        <w:rPr>
          <w:rFonts w:hint="eastAsia" w:ascii="仿宋_GB2312" w:eastAsia="仿宋_GB2312" w:cs="宋体"/>
          <w:color w:val="000000"/>
          <w:kern w:val="0"/>
          <w:sz w:val="32"/>
          <w:szCs w:val="32"/>
        </w:rPr>
        <w:t>服务期间</w:t>
      </w:r>
      <w:r>
        <w:rPr>
          <w:rFonts w:hint="eastAsia" w:ascii="仿宋_GB2312" w:hAnsi="Times New Roman" w:eastAsia="仿宋_GB2312" w:cs="DejaVuSans"/>
          <w:color w:val="000000"/>
          <w:kern w:val="0"/>
          <w:sz w:val="32"/>
          <w:szCs w:val="32"/>
        </w:rPr>
        <w:t>，</w:t>
      </w:r>
      <w:r>
        <w:rPr>
          <w:rFonts w:hint="eastAsia" w:ascii="仿宋_GB2312" w:eastAsia="仿宋_GB2312" w:cs="宋体"/>
          <w:color w:val="000000"/>
          <w:kern w:val="0"/>
          <w:sz w:val="32"/>
          <w:szCs w:val="32"/>
        </w:rPr>
        <w:t>服务供应商应在采购人要求的监测区域内开展</w:t>
      </w:r>
      <w:r>
        <w:rPr>
          <w:rFonts w:hint="eastAsia" w:ascii="仿宋_GB2312" w:hAnsi="Times New Roman" w:eastAsia="仿宋_GB2312" w:cs="DejaVuSans"/>
          <w:color w:val="000000"/>
          <w:kern w:val="0"/>
          <w:sz w:val="32"/>
          <w:szCs w:val="32"/>
        </w:rPr>
        <w:t>不少于1架次的飞行，</w:t>
      </w:r>
      <w:r>
        <w:rPr>
          <w:rFonts w:hint="eastAsia" w:ascii="仿宋_GB2312" w:eastAsia="仿宋_GB2312" w:cs="宋体"/>
          <w:color w:val="000000"/>
          <w:kern w:val="0"/>
          <w:sz w:val="32"/>
          <w:szCs w:val="32"/>
        </w:rPr>
        <w:t>采购人将根据监测情况增加监测次数以及组织开展专项监测和数据采集分析。</w:t>
      </w:r>
    </w:p>
    <w:p>
      <w:pPr>
        <w:autoSpaceDE w:val="0"/>
        <w:autoSpaceDN w:val="0"/>
        <w:adjustRightInd w:val="0"/>
        <w:spacing w:line="600" w:lineRule="exact"/>
        <w:ind w:left="-2" w:leftChars="-1" w:firstLine="704" w:firstLineChars="220"/>
        <w:rPr>
          <w:rFonts w:ascii="仿宋_GB2312" w:eastAsia="仿宋_GB2312" w:cs="宋体"/>
          <w:color w:val="000000"/>
          <w:kern w:val="0"/>
          <w:sz w:val="32"/>
          <w:szCs w:val="32"/>
        </w:rPr>
      </w:pPr>
      <w:r>
        <w:rPr>
          <w:rFonts w:hint="eastAsia" w:ascii="仿宋_GB2312" w:eastAsia="仿宋_GB2312" w:cs="宋体"/>
          <w:color w:val="000000"/>
          <w:kern w:val="0"/>
          <w:sz w:val="32"/>
          <w:szCs w:val="32"/>
        </w:rPr>
        <w:t>6.服务期间，协助开展调研和论证等工作，做好服务保障和资料收集，相关费用包含在总报价中。</w:t>
      </w:r>
    </w:p>
    <w:p>
      <w:pPr>
        <w:autoSpaceDE w:val="0"/>
        <w:autoSpaceDN w:val="0"/>
        <w:adjustRightInd w:val="0"/>
        <w:spacing w:line="600" w:lineRule="exact"/>
        <w:ind w:firstLine="640" w:firstLineChars="200"/>
        <w:jc w:val="left"/>
        <w:rPr>
          <w:rFonts w:ascii="仿宋_GB2312" w:eastAsia="仿宋_GB2312" w:cs="宋体"/>
          <w:color w:val="000000"/>
          <w:kern w:val="0"/>
          <w:sz w:val="32"/>
          <w:szCs w:val="32"/>
        </w:rPr>
      </w:pPr>
      <w:r>
        <w:rPr>
          <w:rFonts w:hint="eastAsia" w:ascii="仿宋_GB2312" w:eastAsia="仿宋_GB2312" w:cs="宋体"/>
          <w:color w:val="000000"/>
          <w:kern w:val="0"/>
          <w:sz w:val="32"/>
          <w:szCs w:val="32"/>
        </w:rPr>
        <w:t>7.服务供应商对执行本项目过程中知悉的涉密信息（包括但不限于监测数据和监测内容以及与本服务项目相关的情况等）严加保密，不得将其知悉的秘密和采购人提供的资料对外泄露。</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cs="宋体"/>
          <w:color w:val="000000"/>
          <w:kern w:val="0"/>
          <w:sz w:val="32"/>
          <w:szCs w:val="32"/>
        </w:rPr>
        <w:t>8.本研究需</w:t>
      </w:r>
      <w:r>
        <w:rPr>
          <w:rFonts w:hint="eastAsia" w:ascii="仿宋_GB2312" w:eastAsia="仿宋_GB2312"/>
          <w:sz w:val="32"/>
          <w:szCs w:val="32"/>
        </w:rPr>
        <w:t>组织不少于3名专家进行专业评审，所需经费由服务供应商负责，服务供应商按评审意见修改完善并提交研究成果。</w:t>
      </w:r>
    </w:p>
    <w:p>
      <w:pPr>
        <w:autoSpaceDE w:val="0"/>
        <w:autoSpaceDN w:val="0"/>
        <w:adjustRightInd w:val="0"/>
        <w:spacing w:line="600" w:lineRule="exact"/>
        <w:ind w:left="-2" w:leftChars="-1" w:firstLine="681" w:firstLineChars="213"/>
        <w:rPr>
          <w:rFonts w:ascii="仿宋_GB2312" w:eastAsia="仿宋_GB2312"/>
          <w:sz w:val="32"/>
          <w:szCs w:val="32"/>
        </w:rPr>
      </w:pPr>
      <w:r>
        <w:rPr>
          <w:rFonts w:hint="eastAsia" w:ascii="黑体" w:hAnsi="黑体" w:eastAsia="黑体" w:cs="宋体"/>
          <w:kern w:val="0"/>
          <w:sz w:val="32"/>
          <w:szCs w:val="32"/>
        </w:rPr>
        <w:t>五、验收及付款方式</w:t>
      </w:r>
    </w:p>
    <w:p>
      <w:pPr>
        <w:ind w:firstLine="640" w:firstLineChars="200"/>
        <w:rPr>
          <w:rFonts w:ascii="仿宋_GB2312" w:eastAsia="仿宋_GB2312"/>
          <w:sz w:val="32"/>
          <w:szCs w:val="32"/>
        </w:rPr>
      </w:pPr>
      <w:r>
        <w:rPr>
          <w:rFonts w:hint="eastAsia" w:ascii="仿宋_GB2312" w:eastAsia="仿宋_GB2312"/>
          <w:sz w:val="32"/>
          <w:szCs w:val="32"/>
        </w:rPr>
        <w:t>1.服务供应商完成全部服务要求后，由采购方组织课题验收，验收合格需同时满足：</w:t>
      </w:r>
    </w:p>
    <w:p>
      <w:pPr>
        <w:ind w:firstLine="640" w:firstLineChars="200"/>
        <w:rPr>
          <w:rFonts w:ascii="仿宋_GB2312" w:eastAsia="仿宋_GB2312"/>
          <w:sz w:val="32"/>
          <w:szCs w:val="32"/>
        </w:rPr>
      </w:pPr>
      <w:r>
        <w:rPr>
          <w:rFonts w:hint="eastAsia" w:ascii="仿宋_GB2312" w:eastAsia="仿宋_GB2312"/>
          <w:sz w:val="32"/>
          <w:szCs w:val="32"/>
        </w:rPr>
        <w:t>①完成本需求约定的全部测试内容，数据完整可追溯；</w:t>
      </w:r>
    </w:p>
    <w:p>
      <w:pPr>
        <w:ind w:firstLine="640" w:firstLineChars="200"/>
        <w:rPr>
          <w:rFonts w:ascii="仿宋_GB2312" w:eastAsia="仿宋_GB2312"/>
          <w:sz w:val="32"/>
          <w:szCs w:val="32"/>
        </w:rPr>
      </w:pPr>
      <w:r>
        <w:rPr>
          <w:rFonts w:hint="eastAsia" w:ascii="仿宋_GB2312" w:eastAsia="仿宋_GB2312"/>
          <w:sz w:val="32"/>
          <w:szCs w:val="32"/>
        </w:rPr>
        <w:t>②研究报告符合课题结题要求，结论支撑研究目的；</w:t>
      </w:r>
    </w:p>
    <w:p>
      <w:pPr>
        <w:ind w:left="638" w:leftChars="304"/>
        <w:rPr>
          <w:rFonts w:ascii="仿宋_GB2312" w:eastAsia="仿宋_GB2312"/>
          <w:sz w:val="32"/>
          <w:szCs w:val="32"/>
        </w:rPr>
      </w:pPr>
      <w:r>
        <w:rPr>
          <w:rFonts w:hint="eastAsia" w:ascii="仿宋_GB2312" w:eastAsia="仿宋_GB2312"/>
          <w:sz w:val="32"/>
          <w:szCs w:val="32"/>
        </w:rPr>
        <w:t>③软件功能符合需求，可正常安装运行，成果交付完整。</w:t>
      </w:r>
    </w:p>
    <w:p>
      <w:pPr>
        <w:ind w:firstLine="640" w:firstLineChars="200"/>
        <w:rPr>
          <w:rFonts w:ascii="仿宋_GB2312" w:eastAsia="仿宋_GB2312"/>
          <w:sz w:val="32"/>
          <w:szCs w:val="32"/>
        </w:rPr>
      </w:pPr>
      <w:r>
        <w:rPr>
          <w:rFonts w:hint="eastAsia" w:ascii="仿宋_GB2312" w:eastAsia="仿宋_GB2312"/>
          <w:sz w:val="32"/>
          <w:szCs w:val="32"/>
        </w:rPr>
        <w:t>验收不合格的，服务提供方需在15个工作日内完成整改，重新申请验收。</w:t>
      </w:r>
    </w:p>
    <w:p>
      <w:pPr>
        <w:ind w:firstLine="640" w:firstLineChars="200"/>
      </w:pPr>
      <w:r>
        <w:rPr>
          <w:rFonts w:hint="eastAsia" w:ascii="仿宋_GB2312" w:eastAsia="仿宋_GB2312"/>
          <w:sz w:val="32"/>
          <w:szCs w:val="32"/>
        </w:rPr>
        <w:t>所有成果通过验收后，采购方收到服务提供方提供的全额正规增值税发票后，15个工作日内支付合同总金额。</w:t>
      </w:r>
    </w:p>
    <w:p>
      <w:pPr>
        <w:autoSpaceDE w:val="0"/>
        <w:autoSpaceDN w:val="0"/>
        <w:adjustRightInd w:val="0"/>
        <w:spacing w:line="600" w:lineRule="exact"/>
        <w:ind w:firstLine="640" w:firstLineChars="200"/>
        <w:jc w:val="left"/>
        <w:rPr>
          <w:rFonts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embedRegular r:id="rId1" w:fontKey="{BB82D10C-1D11-448B-B9B0-188E82412FE1}"/>
  </w:font>
  <w:font w:name="宋体">
    <w:panose1 w:val="02010600030101010101"/>
    <w:charset w:val="50"/>
    <w:family w:val="auto"/>
    <w:pitch w:val="default"/>
    <w:sig w:usb0="00000003" w:usb1="288F0000" w:usb2="00000006" w:usb3="00000000" w:csb0="00040001" w:csb1="00000000"/>
    <w:embedRegular r:id="rId2" w:fontKey="{6EB4879C-7A6D-43C3-83A2-1F1BAFF6D407}"/>
  </w:font>
  <w:font w:name="Wingdings">
    <w:panose1 w:val="05000000000000000000"/>
    <w:charset w:val="02"/>
    <w:family w:val="auto"/>
    <w:pitch w:val="default"/>
    <w:sig w:usb0="00000000" w:usb1="00000000" w:usb2="00000000" w:usb3="00000000" w:csb0="80000000" w:csb1="00000000"/>
    <w:embedRegular r:id="rId3" w:fontKey="{86FC9ECD-4EAB-4F41-9EF6-BB9C63260055}"/>
  </w:font>
  <w:font w:name="Arial">
    <w:panose1 w:val="020B0604020202020204"/>
    <w:charset w:val="01"/>
    <w:family w:val="swiss"/>
    <w:pitch w:val="default"/>
    <w:sig w:usb0="E0002AFF" w:usb1="C0007843" w:usb2="00000009" w:usb3="00000000" w:csb0="400001FF" w:csb1="FFFF0000"/>
    <w:embedRegular r:id="rId4" w:fontKey="{BE03A272-A6C2-4397-8F4A-9E6274626749}"/>
  </w:font>
  <w:font w:name="黑体">
    <w:panose1 w:val="02010609060101010101"/>
    <w:charset w:val="86"/>
    <w:family w:val="auto"/>
    <w:pitch w:val="default"/>
    <w:sig w:usb0="800002BF" w:usb1="38CF7CFA" w:usb2="00000016" w:usb3="00000000" w:csb0="00040001" w:csb1="00000000"/>
    <w:embedRegular r:id="rId5" w:fontKey="{430DAD52-2FB2-4F10-9413-304F76AD52D7}"/>
  </w:font>
  <w:font w:name="Courier New">
    <w:panose1 w:val="02070309020205020404"/>
    <w:charset w:val="01"/>
    <w:family w:val="modern"/>
    <w:pitch w:val="default"/>
    <w:sig w:usb0="E0002AFF" w:usb1="C0007843" w:usb2="00000009" w:usb3="00000000" w:csb0="400001FF" w:csb1="FFFF0000"/>
    <w:embedRegular r:id="rId6" w:fontKey="{1894D2CF-9FBE-4DCE-AC09-953E4426EC86}"/>
  </w:font>
  <w:font w:name="Symbol">
    <w:panose1 w:val="05050102010706020507"/>
    <w:charset w:val="02"/>
    <w:family w:val="roman"/>
    <w:pitch w:val="default"/>
    <w:sig w:usb0="00000000" w:usb1="00000000" w:usb2="00000000" w:usb3="00000000" w:csb0="80000000" w:csb1="00000000"/>
    <w:embedRegular r:id="rId7" w:fontKey="{26FBC5D1-67FD-401D-B49D-963928E4C4B3}"/>
  </w:font>
  <w:font w:name="Calibri">
    <w:panose1 w:val="020F0502020204030204"/>
    <w:charset w:val="00"/>
    <w:family w:val="swiss"/>
    <w:pitch w:val="default"/>
    <w:sig w:usb0="E10002FF" w:usb1="4000ACFF" w:usb2="00000009" w:usb3="00000000" w:csb0="2000019F" w:csb1="00000000"/>
    <w:embedRegular r:id="rId8" w:fontKey="{FD25CCD0-FF21-460B-9D40-00DEB89E875B}"/>
  </w:font>
  <w:font w:name="方正小标宋简体">
    <w:panose1 w:val="03000509000000000000"/>
    <w:charset w:val="86"/>
    <w:family w:val="auto"/>
    <w:pitch w:val="default"/>
    <w:sig w:usb0="00000001" w:usb1="080E0000" w:usb2="00000000" w:usb3="00000000" w:csb0="00040000" w:csb1="00000000"/>
    <w:embedRegular r:id="rId9" w:fontKey="{63BD0095-E192-4EBA-A628-4D472587993B}"/>
  </w:font>
  <w:font w:name="仿宋_GB2312">
    <w:panose1 w:val="02010609030101010101"/>
    <w:charset w:val="86"/>
    <w:family w:val="modern"/>
    <w:pitch w:val="default"/>
    <w:sig w:usb0="00000001" w:usb1="080E0000" w:usb2="00000000" w:usb3="00000000" w:csb0="00040000" w:csb1="00000000"/>
    <w:embedRegular r:id="rId10" w:fontKey="{854245C3-F192-4733-A61A-C8D8D8879AF1}"/>
  </w:font>
  <w:font w:name="楷体_GB2312">
    <w:panose1 w:val="02010609030101010101"/>
    <w:charset w:val="86"/>
    <w:family w:val="auto"/>
    <w:pitch w:val="default"/>
    <w:sig w:usb0="00000001" w:usb1="080E0000" w:usb2="00000000" w:usb3="00000000" w:csb0="00040000" w:csb1="00000000"/>
    <w:embedRegular r:id="rId11" w:fontKey="{EA49306A-E3CF-47EA-91A8-B5DCC4E46A46}"/>
  </w:font>
  <w:font w:name="DejaVuSans">
    <w:altName w:val="宋体"/>
    <w:panose1 w:val="00000000000000000000"/>
    <w:charset w:val="86"/>
    <w:family w:val="auto"/>
    <w:pitch w:val="default"/>
    <w:sig w:usb0="00000000" w:usb1="00000000" w:usb2="00000010" w:usb3="00000000" w:csb0="00040000" w:csb1="00000000"/>
    <w:embedRegular r:id="rId12" w:fontKey="{CC44A80C-026E-4A8A-8366-430C82A43B9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3A4593"/>
    <w:rsid w:val="001042FA"/>
    <w:rsid w:val="001535FD"/>
    <w:rsid w:val="001C4446"/>
    <w:rsid w:val="001C6DDD"/>
    <w:rsid w:val="003230AB"/>
    <w:rsid w:val="003B74F1"/>
    <w:rsid w:val="0052564C"/>
    <w:rsid w:val="005600FC"/>
    <w:rsid w:val="005A3679"/>
    <w:rsid w:val="0064789D"/>
    <w:rsid w:val="007006C5"/>
    <w:rsid w:val="00816A54"/>
    <w:rsid w:val="009010E6"/>
    <w:rsid w:val="00BE0F2C"/>
    <w:rsid w:val="00F25377"/>
    <w:rsid w:val="1CF40E04"/>
    <w:rsid w:val="20A12727"/>
    <w:rsid w:val="36847AED"/>
    <w:rsid w:val="403A4593"/>
    <w:rsid w:val="4A853182"/>
    <w:rsid w:val="580260DE"/>
    <w:rsid w:val="658D32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16"/>
    <w:qFormat/>
    <w:uiPriority w:val="0"/>
    <w:rPr>
      <w:b/>
      <w:bCs/>
    </w:rPr>
  </w:style>
  <w:style w:type="paragraph" w:styleId="4">
    <w:name w:val="annotation text"/>
    <w:basedOn w:val="1"/>
    <w:link w:val="15"/>
    <w:qFormat/>
    <w:uiPriority w:val="0"/>
    <w:pPr>
      <w:jc w:val="left"/>
    </w:pPr>
  </w:style>
  <w:style w:type="paragraph" w:styleId="5">
    <w:name w:val="Balloon Text"/>
    <w:basedOn w:val="1"/>
    <w:link w:val="14"/>
    <w:qFormat/>
    <w:uiPriority w:val="0"/>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qFormat/>
    <w:uiPriority w:val="0"/>
    <w:rPr>
      <w:sz w:val="21"/>
      <w:szCs w:val="21"/>
    </w:rPr>
  </w:style>
  <w:style w:type="paragraph" w:styleId="11">
    <w:name w:val="List Paragraph"/>
    <w:basedOn w:val="1"/>
    <w:qFormat/>
    <w:uiPriority w:val="34"/>
    <w:pPr>
      <w:ind w:left="720"/>
      <w:contextualSpacing/>
    </w:pPr>
  </w:style>
  <w:style w:type="character" w:customStyle="1" w:styleId="12">
    <w:name w:val="页眉 字符"/>
    <w:basedOn w:val="8"/>
    <w:link w:val="7"/>
    <w:qFormat/>
    <w:uiPriority w:val="0"/>
    <w:rPr>
      <w:rFonts w:asciiTheme="minorHAnsi" w:hAnsiTheme="minorHAnsi" w:eastAsiaTheme="minorEastAsia" w:cstheme="minorBidi"/>
      <w:kern w:val="2"/>
      <w:sz w:val="18"/>
      <w:szCs w:val="18"/>
    </w:rPr>
  </w:style>
  <w:style w:type="character" w:customStyle="1" w:styleId="13">
    <w:name w:val="页脚 字符"/>
    <w:basedOn w:val="8"/>
    <w:link w:val="6"/>
    <w:qFormat/>
    <w:uiPriority w:val="0"/>
    <w:rPr>
      <w:rFonts w:asciiTheme="minorHAnsi" w:hAnsiTheme="minorHAnsi" w:eastAsiaTheme="minorEastAsia" w:cstheme="minorBidi"/>
      <w:kern w:val="2"/>
      <w:sz w:val="18"/>
      <w:szCs w:val="18"/>
    </w:rPr>
  </w:style>
  <w:style w:type="character" w:customStyle="1" w:styleId="14">
    <w:name w:val="批注框文本 字符"/>
    <w:basedOn w:val="8"/>
    <w:link w:val="5"/>
    <w:qFormat/>
    <w:uiPriority w:val="0"/>
    <w:rPr>
      <w:rFonts w:asciiTheme="minorHAnsi" w:hAnsiTheme="minorHAnsi" w:eastAsiaTheme="minorEastAsia" w:cstheme="minorBidi"/>
      <w:kern w:val="2"/>
      <w:sz w:val="18"/>
      <w:szCs w:val="18"/>
    </w:rPr>
  </w:style>
  <w:style w:type="character" w:customStyle="1" w:styleId="15">
    <w:name w:val="批注文字 字符"/>
    <w:basedOn w:val="8"/>
    <w:link w:val="4"/>
    <w:qFormat/>
    <w:uiPriority w:val="0"/>
    <w:rPr>
      <w:rFonts w:asciiTheme="minorHAnsi" w:hAnsiTheme="minorHAnsi" w:eastAsiaTheme="minorEastAsia" w:cstheme="minorBidi"/>
      <w:kern w:val="2"/>
      <w:sz w:val="21"/>
      <w:szCs w:val="24"/>
    </w:rPr>
  </w:style>
  <w:style w:type="character" w:customStyle="1" w:styleId="16">
    <w:name w:val="批注主题 字符"/>
    <w:basedOn w:val="15"/>
    <w:link w:val="3"/>
    <w:qFormat/>
    <w:uiPriority w:val="0"/>
    <w:rPr>
      <w:rFonts w:asciiTheme="minorHAnsi" w:hAnsiTheme="minorHAnsi" w:eastAsiaTheme="minorEastAsia" w:cstheme="minorBidi"/>
      <w:b/>
      <w:bCs/>
      <w:kern w:val="2"/>
      <w:sz w:val="21"/>
      <w:szCs w:val="24"/>
    </w:rPr>
  </w:style>
  <w:style w:type="paragraph" w:customStyle="1" w:styleId="1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2252</Words>
  <Characters>2315</Characters>
  <Lines>16</Lines>
  <Paragraphs>4</Paragraphs>
  <TotalTime>0</TotalTime>
  <ScaleCrop>false</ScaleCrop>
  <LinksUpToDate>false</LinksUpToDate>
  <CharactersWithSpaces>2316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2026-06-24T03:36:00Z</dcterms:created>
  <dc:creator>周邦文</dc:creator>
  <cp:lastModifiedBy>周邦文</cp:lastModifiedBy>
  <dcterms:modified xsi:type="dcterms:W3CDTF">2026-07-07T03:38:31Z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eyJoZGlkIjoiNDIwNTdmZGI1ODNmM2Y3MDlhMGM1OWI2NzRlYTRhZjMiLCJ1c2VySWQiOiIzMDU0MTk4NTEifQ==</vt:lpwstr>
  </property>
  <property fmtid="{D5CDD505-2E9C-101B-9397-08002B2CF9AE}" pid="4" name="ICV">
    <vt:lpwstr>6FCA467A14EB4A14B37A8E64A11E4FE9_13</vt:lpwstr>
  </property>
</Properties>
</file>