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416D">
      <w:pPr>
        <w:rPr>
          <w:rFonts w:ascii="黑体" w:hAnsi="黑体" w:eastAsia="黑体" w:cs="黑体"/>
          <w:sz w:val="32"/>
          <w:szCs w:val="32"/>
        </w:rPr>
      </w:pPr>
      <w:r>
        <w:rPr>
          <w:rFonts w:hint="eastAsia" w:ascii="黑体" w:hAnsi="黑体" w:eastAsia="黑体" w:cs="黑体"/>
          <w:sz w:val="32"/>
          <w:szCs w:val="32"/>
        </w:rPr>
        <w:t>附件2</w:t>
      </w:r>
    </w:p>
    <w:p w14:paraId="45B36138">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福建省地面业务无线电频率国际协调与申报服务采购内容及要求</w:t>
      </w:r>
    </w:p>
    <w:p w14:paraId="632695DA">
      <w:pPr>
        <w:autoSpaceDE w:val="0"/>
        <w:autoSpaceDN w:val="0"/>
        <w:adjustRightInd w:val="0"/>
        <w:ind w:firstLine="2090" w:firstLineChars="1100"/>
        <w:jc w:val="left"/>
        <w:rPr>
          <w:rFonts w:ascii="宋体" w:eastAsia="宋体" w:cs="宋体"/>
          <w:kern w:val="0"/>
          <w:sz w:val="19"/>
          <w:szCs w:val="19"/>
        </w:rPr>
      </w:pPr>
    </w:p>
    <w:p w14:paraId="2A805DF3">
      <w:pPr>
        <w:autoSpaceDE w:val="0"/>
        <w:autoSpaceDN w:val="0"/>
        <w:adjustRightInd w:val="0"/>
        <w:ind w:firstLine="2090" w:firstLineChars="1100"/>
        <w:jc w:val="left"/>
        <w:rPr>
          <w:rFonts w:ascii="宋体" w:eastAsia="宋体" w:cs="宋体"/>
          <w:kern w:val="0"/>
          <w:sz w:val="19"/>
          <w:szCs w:val="19"/>
        </w:rPr>
      </w:pPr>
    </w:p>
    <w:p w14:paraId="5DF6ADD1">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14:paraId="4BD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0032C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14:paraId="32B0673C">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4289645">
            <w:pPr>
              <w:autoSpaceDE w:val="0"/>
              <w:autoSpaceDN w:val="0"/>
              <w:adjustRightInd w:val="0"/>
              <w:ind w:left="-2" w:leftChars="-1" w:firstLine="704" w:firstLineChars="22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1.名称：福建省地面业务无线电频率国际协调与申报服务</w:t>
            </w:r>
            <w:r>
              <w:rPr>
                <w:rFonts w:hint="eastAsia" w:ascii="仿宋_GB2312" w:eastAsia="仿宋_GB2312" w:cs="宋体"/>
                <w:color w:val="000000" w:themeColor="text1"/>
                <w:kern w:val="0"/>
                <w:sz w:val="32"/>
                <w:szCs w:val="32"/>
                <w14:textFill>
                  <w14:solidFill>
                    <w14:schemeClr w14:val="tx1"/>
                  </w14:solidFill>
                </w14:textFill>
              </w:rPr>
              <w:t>。</w:t>
            </w:r>
          </w:p>
          <w:p w14:paraId="5E2F1B5F">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w:t>
            </w:r>
            <w:r>
              <w:rPr>
                <w:rFonts w:hint="eastAsia" w:ascii="仿宋_GB2312" w:eastAsia="仿宋_GB2312" w:cs="DejaVuSans"/>
                <w:color w:val="000000" w:themeColor="text1"/>
                <w:kern w:val="0"/>
                <w:sz w:val="32"/>
                <w:szCs w:val="32"/>
                <w:lang w:val="en-US" w:eastAsia="zh-CN"/>
                <w14:textFill>
                  <w14:solidFill>
                    <w14:schemeClr w14:val="tx1"/>
                  </w14:solidFill>
                </w14:textFill>
              </w:rPr>
              <w:t>15.8</w:t>
            </w:r>
            <w:r>
              <w:rPr>
                <w:rFonts w:hint="eastAsia" w:ascii="仿宋_GB2312" w:eastAsia="仿宋_GB2312" w:cs="DejaVuSans"/>
                <w:color w:val="000000" w:themeColor="text1"/>
                <w:kern w:val="0"/>
                <w:sz w:val="32"/>
                <w:szCs w:val="32"/>
                <w14:textFill>
                  <w14:solidFill>
                    <w14:schemeClr w14:val="tx1"/>
                  </w14:solidFill>
                </w14:textFill>
              </w:rPr>
              <w:t>万元(包括但不限于：研究费用、专家费、调研差旅费、资料费、项目验收费、税费等)，凡超出最高限价的，一律视为无效响应。</w:t>
            </w:r>
          </w:p>
          <w:p w14:paraId="02ADE15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14:paraId="2D4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88" w:type="dxa"/>
            <w:vAlign w:val="center"/>
          </w:tcPr>
          <w:p w14:paraId="1F33A77D">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14:paraId="72BCF45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hAnsi="仿宋_GB2312" w:eastAsia="仿宋_GB2312" w:cs="仿宋_GB2312"/>
                <w:sz w:val="32"/>
                <w:szCs w:val="32"/>
              </w:rPr>
              <w:t>为实现无线电频率高效利用，减少和避免无线电台（站）有害干扰，根据国际电联《无线电规则》、其他国际组织规则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双（多）边协议要求</w:t>
            </w:r>
            <w:r>
              <w:rPr>
                <w:rFonts w:hint="eastAsia" w:ascii="仿宋_GB2312" w:hAnsi="仿宋_GB2312" w:eastAsia="仿宋_GB2312" w:cs="仿宋_GB2312"/>
                <w:sz w:val="32"/>
                <w:szCs w:val="32"/>
                <w:lang w:eastAsia="zh-CN"/>
              </w:rPr>
              <w:t>及有关规定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结合我省实际，筛选</w:t>
            </w:r>
            <w:r>
              <w:rPr>
                <w:rFonts w:hint="eastAsia" w:ascii="仿宋_GB2312" w:hAnsi="仿宋_GB2312" w:eastAsia="仿宋_GB2312" w:cs="仿宋_GB2312"/>
                <w:sz w:val="32"/>
                <w:szCs w:val="32"/>
              </w:rPr>
              <w:t>重点区域、重要频段无线电</w:t>
            </w:r>
            <w:r>
              <w:rPr>
                <w:rFonts w:hint="eastAsia" w:ascii="仿宋_GB2312" w:hAnsi="仿宋_GB2312" w:eastAsia="仿宋_GB2312" w:cs="仿宋_GB2312"/>
                <w:b w:val="0"/>
                <w:sz w:val="32"/>
                <w:szCs w:val="32"/>
              </w:rPr>
              <w:t>频率</w:t>
            </w:r>
            <w:r>
              <w:rPr>
                <w:rFonts w:hint="eastAsia" w:ascii="仿宋_GB2312" w:hAnsi="仿宋_GB2312" w:eastAsia="仿宋_GB2312" w:cs="仿宋_GB2312"/>
                <w:sz w:val="32"/>
                <w:szCs w:val="32"/>
                <w:lang w:eastAsia="zh-CN"/>
              </w:rPr>
              <w:t>开展相关</w:t>
            </w:r>
            <w:r>
              <w:rPr>
                <w:rFonts w:hint="eastAsia" w:ascii="仿宋_GB2312" w:hAnsi="仿宋_GB2312" w:eastAsia="仿宋_GB2312" w:cs="仿宋_GB2312"/>
                <w:b w:val="0"/>
                <w:sz w:val="32"/>
                <w:szCs w:val="32"/>
              </w:rPr>
              <w:t>国际协调</w:t>
            </w:r>
            <w:r>
              <w:rPr>
                <w:rFonts w:hint="eastAsia" w:ascii="Times New Roman" w:hAnsi="Times New Roman" w:eastAsia="仿宋_GB2312" w:cs="Times New Roman"/>
                <w:sz w:val="32"/>
                <w:szCs w:val="32"/>
                <w:lang w:val="en-US" w:eastAsia="zh-CN"/>
              </w:rPr>
              <w:t>，编制、</w:t>
            </w:r>
            <w:r>
              <w:rPr>
                <w:rFonts w:hint="eastAsia" w:ascii="仿宋_GB2312" w:hAnsi="仿宋_GB2312" w:eastAsia="仿宋_GB2312" w:cs="仿宋_GB2312"/>
                <w:sz w:val="32"/>
                <w:szCs w:val="32"/>
              </w:rPr>
              <w:t>报送地面</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无线电台（站）</w:t>
            </w:r>
            <w:r>
              <w:rPr>
                <w:rFonts w:hint="eastAsia" w:ascii="仿宋_GB2312" w:hAnsi="仿宋_GB2312" w:eastAsia="仿宋_GB2312" w:cs="仿宋_GB2312"/>
                <w:sz w:val="32"/>
                <w:szCs w:val="32"/>
                <w:lang w:eastAsia="zh-CN"/>
              </w:rPr>
              <w:t>国际申报</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国际电联</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登记在国际频率登记总表（MIFR）或国际电联相关数据库</w:t>
            </w:r>
            <w:r>
              <w:rPr>
                <w:rFonts w:hint="default" w:ascii="Times New Roman" w:hAnsi="Times New Roman" w:eastAsia="仿宋_GB2312" w:cs="Times New Roman"/>
                <w:color w:val="000000"/>
                <w:kern w:val="0"/>
                <w:sz w:val="32"/>
                <w:szCs w:val="32"/>
              </w:rPr>
              <w:t>。</w:t>
            </w:r>
          </w:p>
        </w:tc>
      </w:tr>
      <w:tr w14:paraId="528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F67174C">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14:paraId="26A8AA5A">
            <w:pPr>
              <w:autoSpaceDE w:val="0"/>
              <w:autoSpaceDN w:val="0"/>
              <w:adjustRightInd w:val="0"/>
              <w:ind w:left="-2" w:leftChars="-1" w:firstLine="704" w:firstLineChars="22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（一）根据工作部署要求，系统梳理、</w:t>
            </w:r>
            <w:r>
              <w:rPr>
                <w:rFonts w:hint="default" w:ascii="Times New Roman" w:hAnsi="Times New Roman" w:eastAsia="仿宋_GB2312" w:cs="Times New Roman"/>
                <w:sz w:val="32"/>
                <w:szCs w:val="32"/>
                <w:lang w:val="en-US" w:eastAsia="zh-CN"/>
              </w:rPr>
              <w:t>筛选</w:t>
            </w:r>
            <w:r>
              <w:rPr>
                <w:rFonts w:hint="eastAsia" w:ascii="Times New Roman" w:hAnsi="Times New Roman" w:eastAsia="仿宋_GB2312" w:cs="Times New Roman"/>
                <w:sz w:val="32"/>
                <w:szCs w:val="32"/>
                <w:lang w:val="en-US" w:eastAsia="zh-CN"/>
              </w:rPr>
              <w:t>重点区域、重要频段在用</w:t>
            </w:r>
            <w:r>
              <w:rPr>
                <w:rFonts w:hint="default" w:ascii="Times New Roman" w:hAnsi="Times New Roman" w:eastAsia="仿宋_GB2312" w:cs="Times New Roman"/>
                <w:sz w:val="32"/>
                <w:szCs w:val="32"/>
                <w:lang w:val="en-US" w:eastAsia="zh-CN"/>
              </w:rPr>
              <w:t>地面业务无线电台</w:t>
            </w:r>
            <w:r>
              <w:rPr>
                <w:rFonts w:hint="eastAsia" w:ascii="仿宋_GB2312" w:hAnsi="仿宋_GB2312" w:eastAsia="仿宋_GB2312" w:cs="仿宋_GB2312"/>
                <w:sz w:val="32"/>
                <w:szCs w:val="32"/>
              </w:rPr>
              <w:t>（站）</w:t>
            </w:r>
            <w:r>
              <w:rPr>
                <w:rFonts w:hint="eastAsia" w:ascii="Times New Roman" w:hAnsi="Times New Roman" w:eastAsia="仿宋_GB2312" w:cs="Times New Roman"/>
                <w:sz w:val="32"/>
                <w:szCs w:val="32"/>
                <w:highlight w:val="none"/>
                <w:lang w:val="en-US" w:eastAsia="zh-CN"/>
              </w:rPr>
              <w:t>不少于150个，按照相关规定指导开展国际协调工作</w:t>
            </w:r>
            <w:r>
              <w:rPr>
                <w:rFonts w:hint="default" w:ascii="Times New Roman" w:hAnsi="Times New Roman" w:eastAsia="仿宋_GB2312" w:cs="Times New Roman"/>
                <w:sz w:val="32"/>
                <w:szCs w:val="32"/>
                <w:lang w:val="en-US" w:eastAsia="zh-CN"/>
              </w:rPr>
              <w:t>。</w:t>
            </w:r>
          </w:p>
          <w:p w14:paraId="4C27F686">
            <w:pPr>
              <w:autoSpaceDE w:val="0"/>
              <w:autoSpaceDN w:val="0"/>
              <w:adjustRightInd w:val="0"/>
              <w:ind w:left="-2" w:leftChars="-1" w:firstLine="704" w:firstLineChars="22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（二）按规范编写国际协议申报资料，并通过相关</w:t>
            </w:r>
            <w:r>
              <w:rPr>
                <w:rFonts w:hint="default" w:ascii="Times New Roman" w:hAnsi="Times New Roman" w:eastAsia="仿宋_GB2312" w:cs="Times New Roman"/>
                <w:sz w:val="32"/>
                <w:szCs w:val="32"/>
                <w:lang w:val="en-US" w:eastAsia="zh-CN"/>
              </w:rPr>
              <w:t>技术审查，具体审查要求为：</w:t>
            </w:r>
          </w:p>
          <w:p w14:paraId="4F77E320">
            <w:pPr>
              <w:numPr>
                <w:ilvl w:val="0"/>
                <w:numId w:val="0"/>
              </w:numPr>
              <w:tabs>
                <w:tab w:val="left" w:pos="312"/>
              </w:tabs>
              <w:autoSpaceDE w:val="0"/>
              <w:autoSpaceDN w:val="0"/>
              <w:adjustRightInd w:val="0"/>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通过国际电信联盟TerRa</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Notices软件验证，提供该件验证通过的“没有错误/警告”的证明材料；</w:t>
            </w:r>
          </w:p>
          <w:p w14:paraId="51FADBD6">
            <w:pPr>
              <w:numPr>
                <w:ilvl w:val="0"/>
                <w:numId w:val="0"/>
              </w:numPr>
              <w:tabs>
                <w:tab w:val="left" w:pos="312"/>
              </w:tabs>
              <w:autoSpaceDE w:val="0"/>
              <w:autoSpaceDN w:val="0"/>
              <w:adjustRightInd w:val="0"/>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通过国际电信联盟官方网站（e-Validation）在线验证，提供验证结果“无错误及警告提示”的证明材料。</w:t>
            </w:r>
          </w:p>
          <w:p w14:paraId="7341A297">
            <w:pPr>
              <w:autoSpaceDE w:val="0"/>
              <w:autoSpaceDN w:val="0"/>
              <w:adjustRightInd w:val="0"/>
              <w:ind w:left="-2" w:leftChars="-1" w:firstLine="704" w:firstLineChars="220"/>
              <w:rPr>
                <w:rFonts w:hint="eastAsia" w:ascii="仿宋_GB2312" w:eastAsia="仿宋_GB2312" w:cs="宋体"/>
                <w:b/>
                <w:color w:val="000000" w:themeColor="text1"/>
                <w:kern w:val="0"/>
                <w:sz w:val="28"/>
                <w:szCs w:val="28"/>
                <w:lang w:eastAsia="zh-CN"/>
                <w14:textFill>
                  <w14:solidFill>
                    <w14:schemeClr w14:val="tx1"/>
                  </w14:solidFill>
                </w14:textFill>
              </w:rPr>
            </w:pPr>
            <w:r>
              <w:rPr>
                <w:rFonts w:hint="eastAsia" w:ascii="Times New Roman" w:hAnsi="Times New Roman" w:eastAsia="仿宋_GB2312" w:cs="Times New Roman"/>
                <w:sz w:val="32"/>
                <w:szCs w:val="32"/>
                <w:lang w:val="en-US" w:eastAsia="zh-CN"/>
              </w:rPr>
              <w:t>（三）</w:t>
            </w:r>
            <w:bookmarkStart w:id="0" w:name="_Toc512813796"/>
            <w:bookmarkStart w:id="1" w:name="_Toc496542962"/>
            <w:bookmarkStart w:id="2" w:name="_Toc235181875"/>
            <w:bookmarkStart w:id="3" w:name="_Toc236544597"/>
            <w:bookmarkStart w:id="4" w:name="_Toc496542961"/>
            <w:bookmarkStart w:id="5" w:name="_Toc104282803"/>
            <w:bookmarkStart w:id="6" w:name="_Toc332114944"/>
            <w:bookmarkStart w:id="7" w:name="_Toc145409391"/>
            <w:r>
              <w:rPr>
                <w:rFonts w:hint="eastAsia" w:ascii="Times New Roman" w:hAnsi="Times New Roman" w:eastAsia="仿宋_GB2312" w:cs="Times New Roman"/>
                <w:sz w:val="32"/>
                <w:szCs w:val="32"/>
                <w:lang w:val="en-US" w:eastAsia="zh-CN"/>
              </w:rPr>
              <w:t>开展福建沿海地区</w:t>
            </w:r>
            <w:r>
              <w:rPr>
                <w:rFonts w:hint="eastAsia" w:ascii="Times New Roman" w:hAnsi="Times New Roman" w:eastAsia="仿宋_GB2312" w:cs="Times New Roman"/>
                <w:sz w:val="32"/>
                <w:szCs w:val="32"/>
                <w:highlight w:val="none"/>
                <w:lang w:val="en-US" w:eastAsia="zh-CN"/>
              </w:rPr>
              <w:t>调频广播频段、公众移动通信频率等重点频段电磁环境测试，编制完整、规范的电磁环境测试报告。</w:t>
            </w:r>
            <w:bookmarkEnd w:id="0"/>
            <w:bookmarkEnd w:id="1"/>
            <w:bookmarkEnd w:id="2"/>
            <w:bookmarkEnd w:id="3"/>
            <w:bookmarkEnd w:id="4"/>
            <w:bookmarkEnd w:id="5"/>
            <w:bookmarkEnd w:id="6"/>
            <w:bookmarkEnd w:id="7"/>
          </w:p>
        </w:tc>
      </w:tr>
      <w:tr w14:paraId="5313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C535E48">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3ADF31F6">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3666DAAF">
            <w:pPr>
              <w:autoSpaceDE w:val="0"/>
              <w:autoSpaceDN w:val="0"/>
              <w:adjustRightInd w:val="0"/>
              <w:spacing w:line="240" w:lineRule="auto"/>
              <w:ind w:left="-2" w:leftChars="-1" w:firstLine="704" w:firstLineChars="22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color w:val="000000"/>
                <w:kern w:val="0"/>
                <w:sz w:val="32"/>
                <w:szCs w:val="32"/>
              </w:rPr>
              <w:t>供应商能够针对本项目组建专门的研究团队。</w:t>
            </w:r>
          </w:p>
          <w:p w14:paraId="686ABCEF">
            <w:pPr>
              <w:autoSpaceDE w:val="0"/>
              <w:autoSpaceDN w:val="0"/>
              <w:adjustRightInd w:val="0"/>
              <w:spacing w:line="240" w:lineRule="auto"/>
              <w:ind w:left="-2" w:leftChars="-1" w:firstLine="704" w:firstLineChars="22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color w:val="000000"/>
                <w:kern w:val="0"/>
                <w:sz w:val="32"/>
                <w:szCs w:val="32"/>
              </w:rPr>
              <w:t>供应商熟悉</w:t>
            </w:r>
            <w:r>
              <w:rPr>
                <w:rFonts w:hint="default" w:ascii="Times New Roman" w:hAnsi="Times New Roman" w:eastAsia="仿宋_GB2312" w:cs="Times New Roman"/>
                <w:color w:val="000000"/>
                <w:kern w:val="0"/>
                <w:sz w:val="32"/>
                <w:szCs w:val="32"/>
                <w:lang w:val="en-US" w:eastAsia="zh-CN"/>
              </w:rPr>
              <w:t>地面无线电</w:t>
            </w:r>
            <w:r>
              <w:rPr>
                <w:rFonts w:hint="default" w:ascii="Times New Roman" w:hAnsi="Times New Roman" w:eastAsia="仿宋_GB2312" w:cs="Times New Roman"/>
                <w:color w:val="000000"/>
                <w:kern w:val="0"/>
                <w:sz w:val="32"/>
                <w:szCs w:val="32"/>
              </w:rPr>
              <w:t>业务</w:t>
            </w:r>
            <w:r>
              <w:rPr>
                <w:rFonts w:hint="eastAsia" w:ascii="Times New Roman" w:hAnsi="Times New Roman" w:eastAsia="仿宋_GB2312" w:cs="Times New Roman"/>
                <w:color w:val="000000"/>
                <w:kern w:val="0"/>
                <w:sz w:val="32"/>
                <w:szCs w:val="32"/>
                <w:lang w:eastAsia="zh-CN"/>
              </w:rPr>
              <w:t>国际协调及申报规范</w:t>
            </w:r>
            <w:r>
              <w:rPr>
                <w:rFonts w:hint="default" w:ascii="Times New Roman" w:hAnsi="Times New Roman" w:eastAsia="仿宋_GB2312" w:cs="Times New Roman"/>
                <w:color w:val="000000"/>
                <w:kern w:val="0"/>
                <w:sz w:val="32"/>
                <w:szCs w:val="32"/>
              </w:rPr>
              <w:t>，具备相关技术能力。</w:t>
            </w:r>
          </w:p>
          <w:p w14:paraId="12C9CDED">
            <w:pPr>
              <w:autoSpaceDE w:val="0"/>
              <w:autoSpaceDN w:val="0"/>
              <w:adjustRightInd w:val="0"/>
              <w:spacing w:line="240" w:lineRule="auto"/>
              <w:ind w:left="-2" w:leftChars="-1" w:firstLine="704" w:firstLineChars="22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color w:val="000000"/>
                <w:kern w:val="0"/>
                <w:sz w:val="32"/>
                <w:szCs w:val="32"/>
              </w:rPr>
              <w:t>供应商不得将本项目分包或拆包，供应商应根据采购人的要求提供完整的服务。</w:t>
            </w:r>
          </w:p>
          <w:p w14:paraId="66CE1F12">
            <w:pPr>
              <w:autoSpaceDE w:val="0"/>
              <w:autoSpaceDN w:val="0"/>
              <w:adjustRightInd w:val="0"/>
              <w:spacing w:line="240" w:lineRule="auto"/>
              <w:ind w:left="-2" w:leftChars="-1" w:firstLine="704" w:firstLineChars="22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color w:val="000000"/>
                <w:kern w:val="0"/>
                <w:sz w:val="32"/>
                <w:szCs w:val="32"/>
              </w:rPr>
              <w:t>供应商在实施过程中，应与采购人联系沟通及汇报工作，发现问题及时上报。</w:t>
            </w:r>
          </w:p>
          <w:p w14:paraId="32A447CD">
            <w:pPr>
              <w:autoSpaceDE w:val="0"/>
              <w:autoSpaceDN w:val="0"/>
              <w:adjustRightInd w:val="0"/>
              <w:spacing w:line="240" w:lineRule="auto"/>
              <w:ind w:left="-2" w:leftChars="-1" w:firstLine="704" w:firstLineChars="22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color w:val="000000"/>
                <w:kern w:val="0"/>
                <w:sz w:val="32"/>
                <w:szCs w:val="32"/>
              </w:rPr>
              <w:t>供应商在实施过程中所形成的有关调查材料，应整理成册归档，以便采购人调阅。</w:t>
            </w:r>
          </w:p>
          <w:p w14:paraId="0B94B7C5">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color w:val="000000"/>
                <w:kern w:val="0"/>
                <w:sz w:val="32"/>
                <w:szCs w:val="32"/>
              </w:rPr>
              <w:t>供应商对执行本项目过程中知悉的涉密信息严加保密，不得将其知悉的秘密和采购人提供的资料对外泄露；</w:t>
            </w:r>
            <w:r>
              <w:rPr>
                <w:rFonts w:hint="default" w:ascii="Times New Roman" w:hAnsi="Times New Roman" w:eastAsia="仿宋_GB2312" w:cs="Times New Roman"/>
                <w:sz w:val="32"/>
                <w:szCs w:val="32"/>
              </w:rPr>
              <w:t>如需公开征求意见或发布成果，须经福建</w:t>
            </w:r>
            <w:r>
              <w:rPr>
                <w:rFonts w:hint="default" w:ascii="Times New Roman" w:hAnsi="Times New Roman" w:eastAsia="仿宋_GB2312" w:cs="Times New Roman"/>
                <w:sz w:val="32"/>
                <w:szCs w:val="32"/>
                <w:highlight w:val="none"/>
              </w:rPr>
              <w:t>省无线电管理办公室同意。</w:t>
            </w:r>
          </w:p>
        </w:tc>
      </w:tr>
      <w:tr w14:paraId="2C17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5972EE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279B33C7">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4E98FCA2">
            <w:pPr>
              <w:autoSpaceDE w:val="0"/>
              <w:autoSpaceDN w:val="0"/>
              <w:adjustRightInd w:val="0"/>
              <w:ind w:left="-2" w:leftChars="-1" w:firstLine="704" w:firstLineChars="22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bCs w:val="0"/>
                <w:kern w:val="2"/>
                <w:sz w:val="32"/>
                <w:szCs w:val="32"/>
              </w:rPr>
              <w:t>地面</w:t>
            </w:r>
            <w:r>
              <w:rPr>
                <w:rFonts w:hint="default" w:ascii="Times New Roman" w:hAnsi="Times New Roman" w:eastAsia="仿宋_GB2312" w:cs="Times New Roman"/>
                <w:bCs w:val="0"/>
                <w:kern w:val="2"/>
                <w:sz w:val="32"/>
                <w:szCs w:val="32"/>
                <w:lang w:val="en-US" w:eastAsia="zh-CN"/>
              </w:rPr>
              <w:t>业务</w:t>
            </w:r>
            <w:r>
              <w:rPr>
                <w:rFonts w:hint="default" w:ascii="Times New Roman" w:hAnsi="Times New Roman" w:eastAsia="仿宋_GB2312" w:cs="Times New Roman"/>
                <w:bCs w:val="0"/>
                <w:kern w:val="2"/>
                <w:sz w:val="32"/>
                <w:szCs w:val="32"/>
              </w:rPr>
              <w:t>无线电业务频率国际</w:t>
            </w:r>
            <w:r>
              <w:rPr>
                <w:rFonts w:hint="default" w:ascii="Times New Roman" w:hAnsi="Times New Roman" w:eastAsia="仿宋_GB2312" w:cs="Times New Roman"/>
                <w:bCs w:val="0"/>
                <w:kern w:val="2"/>
                <w:sz w:val="32"/>
                <w:szCs w:val="32"/>
                <w:lang w:eastAsia="zh-CN"/>
              </w:rPr>
              <w:t>协调与</w:t>
            </w:r>
            <w:r>
              <w:rPr>
                <w:rFonts w:hint="default" w:ascii="Times New Roman" w:hAnsi="Times New Roman" w:eastAsia="仿宋_GB2312" w:cs="Times New Roman"/>
                <w:bCs w:val="0"/>
                <w:kern w:val="2"/>
                <w:sz w:val="32"/>
                <w:szCs w:val="32"/>
              </w:rPr>
              <w:t>申报</w:t>
            </w:r>
            <w:r>
              <w:rPr>
                <w:rFonts w:hint="eastAsia" w:ascii="Times New Roman" w:hAnsi="Times New Roman" w:eastAsia="仿宋_GB2312" w:cs="Times New Roman"/>
                <w:bCs w:val="0"/>
                <w:kern w:val="2"/>
                <w:sz w:val="32"/>
                <w:szCs w:val="32"/>
                <w:lang w:eastAsia="zh-CN"/>
              </w:rPr>
              <w:t>资料</w:t>
            </w:r>
            <w:r>
              <w:rPr>
                <w:rFonts w:hint="eastAsia" w:ascii="Times New Roman" w:hAnsi="Times New Roman" w:eastAsia="仿宋_GB2312" w:cs="Times New Roman"/>
                <w:sz w:val="32"/>
                <w:szCs w:val="32"/>
                <w:lang w:eastAsia="zh-CN"/>
              </w:rPr>
              <w:t>；</w:t>
            </w:r>
          </w:p>
          <w:p w14:paraId="25B6055B">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Times New Roman" w:hAnsi="Times New Roman" w:eastAsia="仿宋_GB2312" w:cs="Times New Roman"/>
                <w:sz w:val="32"/>
                <w:szCs w:val="32"/>
                <w:lang w:val="en-US" w:eastAsia="zh-CN"/>
              </w:rPr>
              <w:t>2.福建沿海地区</w:t>
            </w:r>
            <w:r>
              <w:rPr>
                <w:rFonts w:hint="eastAsia" w:ascii="Times New Roman" w:hAnsi="Times New Roman" w:eastAsia="仿宋_GB2312" w:cs="Times New Roman"/>
                <w:sz w:val="32"/>
                <w:szCs w:val="32"/>
                <w:highlight w:val="none"/>
                <w:lang w:val="en-US" w:eastAsia="zh-CN"/>
              </w:rPr>
              <w:t>电磁环境测试报告</w:t>
            </w:r>
            <w:r>
              <w:rPr>
                <w:rFonts w:hint="default" w:ascii="Times New Roman" w:hAnsi="Times New Roman" w:eastAsia="仿宋_GB2312" w:cs="Times New Roman"/>
                <w:sz w:val="32"/>
                <w:szCs w:val="32"/>
              </w:rPr>
              <w:t>。</w:t>
            </w:r>
          </w:p>
        </w:tc>
      </w:tr>
      <w:tr w14:paraId="126D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56642B5">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14:paraId="511AA13E">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6A2439C2">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14:paraId="21854F48">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w:t>
            </w:r>
            <w:r>
              <w:rPr>
                <w:rFonts w:hint="eastAsia" w:ascii="仿宋_GB2312" w:eastAsia="仿宋_GB2312" w:cs="DejaVuSans"/>
                <w:color w:val="000000" w:themeColor="text1"/>
                <w:kern w:val="0"/>
                <w:sz w:val="32"/>
                <w:szCs w:val="32"/>
                <w:lang w:eastAsia="zh-CN"/>
                <w14:textFill>
                  <w14:solidFill>
                    <w14:schemeClr w14:val="tx1"/>
                  </w14:solidFill>
                </w14:textFill>
              </w:rPr>
              <w:t>项目</w:t>
            </w:r>
            <w:r>
              <w:rPr>
                <w:rFonts w:hint="eastAsia" w:ascii="仿宋_GB2312" w:eastAsia="仿宋_GB2312" w:cs="DejaVuSans"/>
                <w:color w:val="000000" w:themeColor="text1"/>
                <w:kern w:val="0"/>
                <w:sz w:val="32"/>
                <w:szCs w:val="32"/>
                <w14:textFill>
                  <w14:solidFill>
                    <w14:schemeClr w14:val="tx1"/>
                  </w14:solidFill>
                </w14:textFill>
              </w:rPr>
              <w:t>成果。</w:t>
            </w:r>
          </w:p>
          <w:p w14:paraId="30F05DF1">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14:paraId="645DBF84">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14:paraId="060A319A">
      <w:pPr>
        <w:rPr>
          <w:rFonts w:ascii="宋体" w:eastAsia="宋体" w:cs="宋体"/>
          <w:kern w:val="0"/>
          <w:sz w:val="19"/>
          <w:szCs w:val="19"/>
        </w:rPr>
      </w:pPr>
    </w:p>
    <w:p w14:paraId="1A20B874">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608C67CE">
      <w:pPr>
        <w:pStyle w:val="9"/>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54920AB7">
      <w:pPr>
        <w:spacing w:line="600" w:lineRule="exact"/>
        <w:ind w:firstLine="646" w:firstLineChars="202"/>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ascii="仿宋_GB2312" w:hAnsi="仿宋_GB2312" w:eastAsia="仿宋_GB2312" w:cs="仿宋_GB2312"/>
          <w:sz w:val="32"/>
          <w:szCs w:val="32"/>
        </w:rPr>
        <w:t>如有特殊情况，供应商应继续履行服务至本项工作全部完成。</w:t>
      </w:r>
    </w:p>
    <w:p w14:paraId="60A02418">
      <w:pPr>
        <w:pStyle w:val="9"/>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17E9D91A">
      <w:pPr>
        <w:spacing w:line="600" w:lineRule="exact"/>
        <w:ind w:firstLine="646" w:firstLineChars="202"/>
        <w:rPr>
          <w:rFonts w:ascii="仿宋_GB2312" w:eastAsia="仿宋_GB2312"/>
          <w:sz w:val="32"/>
          <w:szCs w:val="32"/>
        </w:rPr>
      </w:pPr>
      <w:r>
        <w:rPr>
          <w:rFonts w:hint="eastAsia" w:ascii="仿宋_GB2312" w:eastAsia="仿宋_GB2312"/>
          <w:sz w:val="32"/>
          <w:szCs w:val="32"/>
        </w:rPr>
        <w:t>1期：支付比例100%，供应商</w:t>
      </w:r>
      <w:r>
        <w:rPr>
          <w:rFonts w:hint="eastAsia" w:ascii="仿宋_GB2312" w:eastAsia="仿宋_GB2312"/>
          <w:sz w:val="32"/>
          <w:szCs w:val="32"/>
          <w:lang w:eastAsia="zh-CN"/>
        </w:rPr>
        <w:t>按期</w:t>
      </w:r>
      <w:r>
        <w:rPr>
          <w:rFonts w:hint="eastAsia" w:ascii="仿宋_GB2312" w:eastAsia="仿宋_GB2312"/>
          <w:sz w:val="32"/>
          <w:szCs w:val="32"/>
        </w:rPr>
        <w:t>提供</w:t>
      </w:r>
      <w:r>
        <w:rPr>
          <w:rFonts w:hint="eastAsia" w:ascii="仿宋_GB2312" w:hAnsi="仿宋_GB2312" w:eastAsia="仿宋_GB2312" w:cs="仿宋_GB2312"/>
          <w:sz w:val="32"/>
          <w:szCs w:val="32"/>
          <w:lang w:eastAsia="zh-CN"/>
        </w:rPr>
        <w:t>符合要求</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项目成果</w:t>
      </w:r>
      <w:r>
        <w:rPr>
          <w:rFonts w:hint="eastAsia" w:ascii="仿宋_GB2312" w:eastAsia="仿宋_GB2312"/>
          <w:sz w:val="32"/>
          <w:szCs w:val="32"/>
        </w:rPr>
        <w:t>，并向采购人提供相应的发票后10个工作日内，采购人向供应商支付合同金额100%的合同款。</w:t>
      </w:r>
    </w:p>
    <w:p w14:paraId="0AD3660A">
      <w:pPr>
        <w:spacing w:line="600" w:lineRule="exact"/>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5B6F1448">
      <w:pPr>
        <w:ind w:firstLine="646" w:firstLineChars="202"/>
        <w:rPr>
          <w:rFonts w:hint="eastAsia" w:ascii="仿宋_GB2312" w:eastAsia="仿宋_GB2312"/>
          <w:sz w:val="32"/>
          <w:szCs w:val="32"/>
        </w:rPr>
      </w:pPr>
      <w:bookmarkStart w:id="8" w:name="_GoBack"/>
      <w:bookmarkEnd w:id="8"/>
    </w:p>
    <w:p w14:paraId="154636DC">
      <w:pPr>
        <w:pStyle w:val="9"/>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14:paraId="33027369">
      <w:pPr>
        <w:ind w:firstLine="646" w:firstLineChars="202"/>
        <w:rPr>
          <w:rFonts w:ascii="仿宋_GB2312" w:eastAsia="仿宋_GB2312"/>
          <w:sz w:val="32"/>
          <w:szCs w:val="32"/>
        </w:rPr>
      </w:pPr>
      <w:r>
        <w:rPr>
          <w:rFonts w:hint="eastAsia" w:ascii="仿宋_GB2312" w:eastAsia="仿宋_GB2312"/>
          <w:sz w:val="32"/>
          <w:szCs w:val="32"/>
        </w:rPr>
        <w:t>不收取。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DejaVuSans">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国标楷体">
    <w:panose1 w:val="02000500000000000000"/>
    <w:charset w:val="86"/>
    <w:family w:val="auto"/>
    <w:pitch w:val="default"/>
    <w:sig w:usb0="00000001" w:usb1="08000000" w:usb2="00000000" w:usb3="00000000" w:csb0="00060007"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1432640"/>
    <w:rsid w:val="06940A89"/>
    <w:rsid w:val="09E07ED3"/>
    <w:rsid w:val="130477B3"/>
    <w:rsid w:val="28731731"/>
    <w:rsid w:val="2A7331ED"/>
    <w:rsid w:val="2DAF5D32"/>
    <w:rsid w:val="306269C5"/>
    <w:rsid w:val="34477289"/>
    <w:rsid w:val="3C554D24"/>
    <w:rsid w:val="41316C91"/>
    <w:rsid w:val="49757414"/>
    <w:rsid w:val="4DDB5435"/>
    <w:rsid w:val="4DF41C79"/>
    <w:rsid w:val="50DD68AB"/>
    <w:rsid w:val="6F4F0DA1"/>
    <w:rsid w:val="7164346D"/>
    <w:rsid w:val="79314EE8"/>
    <w:rsid w:val="7CFBD29C"/>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4</Pages>
  <Words>1990</Words>
  <Characters>2043</Characters>
  <Lines>9</Lines>
  <Paragraphs>2</Paragraphs>
  <TotalTime>0</TotalTime>
  <ScaleCrop>false</ScaleCrop>
  <LinksUpToDate>false</LinksUpToDate>
  <CharactersWithSpaces>2046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2024-03-12T17:12:00Z</dcterms:created>
  <dc:creator>XJS</dc:creator>
  <cp:lastModifiedBy>admin</cp:lastModifiedBy>
  <dcterms:modified xsi:type="dcterms:W3CDTF">2026-04-22T15:24:29Z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139A7D3B76D14A899D792E99437D8BA4</vt:lpwstr>
  </property>
  <property fmtid="{D5CDD505-2E9C-101B-9397-08002B2CF9AE}" pid="4" name="KSOTemplateDocerSaveRecord">
    <vt:lpwstr>eyJoZGlkIjoiZGFmZjZjOTVhNDVmMDkyZmVlZTJiNWMyNWVmZWRlMzUiLCJ1c2VySWQiOiIxNDYxNzA0NjQ5In0=</vt:lpwstr>
  </property>
</Properties>
</file>