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20" w:rsidRDefault="004169F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E4B20" w:rsidRDefault="004169F2">
      <w:pPr>
        <w:jc w:val="center"/>
        <w:rPr>
          <w:rFonts w:ascii="方正大标宋简体" w:eastAsia="方正大标宋简体"/>
          <w:sz w:val="44"/>
        </w:rPr>
      </w:pPr>
      <w:r>
        <w:rPr>
          <w:rFonts w:ascii="方正大标宋简体" w:eastAsia="方正大标宋简体" w:hint="eastAsia"/>
          <w:sz w:val="44"/>
        </w:rPr>
        <w:t>采购项目</w:t>
      </w:r>
      <w:r>
        <w:rPr>
          <w:rFonts w:ascii="方正大标宋简体" w:eastAsia="方正大标宋简体" w:hint="eastAsia"/>
          <w:sz w:val="44"/>
        </w:rPr>
        <w:t>报价单</w:t>
      </w:r>
    </w:p>
    <w:p w:rsidR="009E4B20" w:rsidRDefault="009E4B20">
      <w:pPr>
        <w:rPr>
          <w:rFonts w:ascii="仿宋_GB2312" w:eastAsia="仿宋_GB2312"/>
          <w:sz w:val="32"/>
          <w:szCs w:val="32"/>
        </w:rPr>
      </w:pPr>
    </w:p>
    <w:p w:rsidR="009E4B20" w:rsidRDefault="004169F2">
      <w:pPr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厦门市无线电管理局：</w:t>
      </w:r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关于本次询价的技术设施建设项目可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报告编制及项目库建设服务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，我单位已详细阅读了贵局的询价内容</w:t>
      </w:r>
      <w:r>
        <w:rPr>
          <w:rFonts w:ascii="仿宋_GB2312" w:eastAsia="仿宋_GB2312" w:hint="eastAsia"/>
          <w:sz w:val="32"/>
          <w:szCs w:val="32"/>
        </w:rPr>
        <w:t>和要求</w:t>
      </w:r>
      <w:r>
        <w:rPr>
          <w:rFonts w:ascii="仿宋_GB2312" w:eastAsia="仿宋_GB2312" w:hint="eastAsia"/>
          <w:sz w:val="32"/>
          <w:szCs w:val="32"/>
        </w:rPr>
        <w:t>，完全理解项目要求，决定参加报价。</w:t>
      </w:r>
    </w:p>
    <w:p w:rsidR="009E4B20" w:rsidRDefault="004169F2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2094" w:tblpY="31"/>
        <w:tblOverlap w:val="never"/>
        <w:tblW w:w="8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4"/>
        <w:gridCol w:w="1784"/>
      </w:tblGrid>
      <w:tr w:rsidR="009E4B20">
        <w:tc>
          <w:tcPr>
            <w:tcW w:w="6474" w:type="dxa"/>
            <w:noWrap/>
            <w:vAlign w:val="center"/>
          </w:tcPr>
          <w:p w:rsidR="009E4B20" w:rsidRDefault="004169F2">
            <w:pPr>
              <w:tabs>
                <w:tab w:val="left" w:pos="2800"/>
              </w:tabs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1784" w:type="dxa"/>
            <w:noWrap/>
            <w:vAlign w:val="center"/>
          </w:tcPr>
          <w:p w:rsidR="009E4B20" w:rsidRDefault="004169F2">
            <w:pPr>
              <w:tabs>
                <w:tab w:val="left" w:pos="2800"/>
              </w:tabs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总价</w:t>
            </w:r>
          </w:p>
          <w:p w:rsidR="009E4B20" w:rsidRDefault="004169F2">
            <w:pPr>
              <w:tabs>
                <w:tab w:val="left" w:pos="2800"/>
              </w:tabs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（万元）</w:t>
            </w:r>
          </w:p>
        </w:tc>
      </w:tr>
      <w:tr w:rsidR="009E4B20">
        <w:trPr>
          <w:trHeight w:val="984"/>
        </w:trPr>
        <w:tc>
          <w:tcPr>
            <w:tcW w:w="6474" w:type="dxa"/>
            <w:noWrap/>
            <w:vAlign w:val="center"/>
          </w:tcPr>
          <w:p w:rsidR="009E4B20" w:rsidRDefault="004169F2">
            <w:pPr>
              <w:tabs>
                <w:tab w:val="left" w:pos="2800"/>
              </w:tabs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技术设施建设项目可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报告编制及项目库建设服务</w:t>
            </w:r>
          </w:p>
        </w:tc>
        <w:tc>
          <w:tcPr>
            <w:tcW w:w="1784" w:type="dxa"/>
            <w:noWrap/>
            <w:vAlign w:val="center"/>
          </w:tcPr>
          <w:p w:rsidR="009E4B20" w:rsidRDefault="009E4B20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E4B20" w:rsidRDefault="004169F2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佐证材料</w:t>
      </w:r>
    </w:p>
    <w:p w:rsidR="009E4B20" w:rsidRDefault="004169F2">
      <w:pPr>
        <w:tabs>
          <w:tab w:val="left" w:pos="2800"/>
        </w:tabs>
        <w:ind w:left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见附件《证明材料提交清单》</w:t>
      </w:r>
    </w:p>
    <w:p w:rsidR="009E4B20" w:rsidRDefault="004169F2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9E4B20" w:rsidRDefault="004169F2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 xml:space="preserve">***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***</w:t>
      </w:r>
    </w:p>
    <w:p w:rsidR="009E4B20" w:rsidRDefault="004169F2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报价单位注册地详细地址：</w:t>
      </w:r>
      <w:r>
        <w:rPr>
          <w:rFonts w:ascii="仿宋_GB2312" w:eastAsia="仿宋_GB2312" w:hint="eastAsia"/>
          <w:sz w:val="32"/>
          <w:szCs w:val="32"/>
        </w:rPr>
        <w:t>****</w:t>
      </w:r>
    </w:p>
    <w:p w:rsidR="009E4B20" w:rsidRDefault="009E4B20">
      <w:pPr>
        <w:tabs>
          <w:tab w:val="left" w:pos="2800"/>
        </w:tabs>
        <w:ind w:left="640"/>
        <w:rPr>
          <w:rFonts w:ascii="仿宋_GB2312" w:eastAsia="仿宋_GB2312" w:hAnsi="等线" w:cs="Times New Roman" w:hint="eastAsia"/>
          <w:sz w:val="32"/>
          <w:szCs w:val="32"/>
        </w:rPr>
      </w:pPr>
    </w:p>
    <w:p w:rsidR="009E4B20" w:rsidRDefault="009E4B20">
      <w:pPr>
        <w:tabs>
          <w:tab w:val="left" w:pos="2800"/>
        </w:tabs>
        <w:ind w:left="640"/>
        <w:rPr>
          <w:rFonts w:ascii="方正小标宋简体" w:eastAsia="方正小标宋简体"/>
          <w:sz w:val="32"/>
          <w:szCs w:val="32"/>
        </w:rPr>
      </w:pPr>
    </w:p>
    <w:p w:rsidR="009E4B20" w:rsidRDefault="004169F2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</w:t>
      </w:r>
      <w:r>
        <w:rPr>
          <w:rFonts w:ascii="仿宋_GB2312" w:eastAsia="仿宋_GB2312" w:hint="eastAsia"/>
          <w:sz w:val="32"/>
          <w:szCs w:val="32"/>
        </w:rPr>
        <w:t>***</w:t>
      </w:r>
    </w:p>
    <w:p w:rsidR="009E4B20" w:rsidRDefault="004169F2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E4B20" w:rsidRDefault="004169F2">
      <w:pPr>
        <w:tabs>
          <w:tab w:val="left" w:pos="280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9E4B20" w:rsidRDefault="004169F2">
      <w:pPr>
        <w:tabs>
          <w:tab w:val="left" w:pos="2800"/>
        </w:tabs>
        <w:ind w:left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提交清单</w:t>
      </w:r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（一）采购项目报价单；</w:t>
      </w:r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（二）有效证照等证明文件；</w:t>
      </w:r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（三）授权书（若有，需要提供授权人和被授权人身份证信息以及身份证复印件等）；</w:t>
      </w:r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（四）政府采购法第二十二条规定条件相关材料（可进行承诺，格式自拟）；</w:t>
      </w:r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（五）项目所需研究团队人员资格材料和无线电管理领域相关服务业绩；</w:t>
      </w:r>
      <w:bookmarkStart w:id="0" w:name="_GoBack"/>
      <w:bookmarkEnd w:id="0"/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（六）联合体声明；</w:t>
      </w:r>
    </w:p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（七）附件</w:t>
      </w: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>
        <w:rPr>
          <w:rFonts w:ascii="仿宋_GB2312" w:eastAsia="仿宋_GB2312" w:hAnsi="等线" w:cs="Times New Roman" w:hint="eastAsia"/>
          <w:sz w:val="32"/>
          <w:szCs w:val="32"/>
        </w:rPr>
        <w:t>《服务内容及要求》响应文件，具体如下：</w:t>
      </w:r>
    </w:p>
    <w:p w:rsidR="009E4B20" w:rsidRDefault="004169F2">
      <w:pPr>
        <w:tabs>
          <w:tab w:val="left" w:pos="2800"/>
        </w:tabs>
        <w:ind w:firstLineChars="200" w:firstLine="643"/>
        <w:rPr>
          <w:rFonts w:ascii="仿宋_GB2312" w:eastAsia="仿宋_GB2312" w:hAnsi="等线" w:cs="Times New Roman" w:hint="eastAsia"/>
          <w:b/>
          <w:bCs/>
          <w:sz w:val="32"/>
          <w:szCs w:val="32"/>
        </w:rPr>
      </w:pPr>
      <w:r>
        <w:rPr>
          <w:rFonts w:ascii="仿宋_GB2312" w:eastAsia="仿宋_GB2312" w:hAnsi="等线" w:cs="Times New Roman" w:hint="eastAsia"/>
          <w:b/>
          <w:bCs/>
          <w:sz w:val="32"/>
          <w:szCs w:val="32"/>
        </w:rPr>
        <w:t>1.</w:t>
      </w:r>
      <w:r>
        <w:rPr>
          <w:rFonts w:ascii="仿宋_GB2312" w:eastAsia="仿宋_GB2312" w:hAnsi="等线" w:cs="Times New Roman" w:hint="eastAsia"/>
          <w:b/>
          <w:bCs/>
          <w:sz w:val="32"/>
          <w:szCs w:val="32"/>
        </w:rPr>
        <w:t>采购内容及要求响应表</w:t>
      </w:r>
    </w:p>
    <w:tbl>
      <w:tblPr>
        <w:tblStyle w:val="a4"/>
        <w:tblW w:w="9057" w:type="dxa"/>
        <w:tblInd w:w="-192" w:type="dxa"/>
        <w:tblLayout w:type="fixed"/>
        <w:tblLook w:val="04A0"/>
      </w:tblPr>
      <w:tblGrid>
        <w:gridCol w:w="1986"/>
        <w:gridCol w:w="4332"/>
        <w:gridCol w:w="1576"/>
        <w:gridCol w:w="1163"/>
      </w:tblGrid>
      <w:tr w:rsidR="009E4B20">
        <w:tc>
          <w:tcPr>
            <w:tcW w:w="1986" w:type="dxa"/>
            <w:vAlign w:val="center"/>
          </w:tcPr>
          <w:p w:rsidR="009E4B20" w:rsidRDefault="004169F2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章节</w:t>
            </w:r>
          </w:p>
        </w:tc>
        <w:tc>
          <w:tcPr>
            <w:tcW w:w="4332" w:type="dxa"/>
            <w:vAlign w:val="center"/>
          </w:tcPr>
          <w:p w:rsidR="009E4B20" w:rsidRDefault="004169F2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内容及要求</w:t>
            </w:r>
          </w:p>
        </w:tc>
        <w:tc>
          <w:tcPr>
            <w:tcW w:w="1576" w:type="dxa"/>
            <w:vAlign w:val="center"/>
          </w:tcPr>
          <w:p w:rsidR="009E4B20" w:rsidRDefault="004169F2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响应情况</w:t>
            </w:r>
          </w:p>
        </w:tc>
        <w:tc>
          <w:tcPr>
            <w:tcW w:w="1163" w:type="dxa"/>
            <w:vAlign w:val="center"/>
          </w:tcPr>
          <w:p w:rsidR="009E4B20" w:rsidRDefault="004169F2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是否偏离</w:t>
            </w:r>
          </w:p>
        </w:tc>
      </w:tr>
      <w:tr w:rsidR="009E4B20">
        <w:tc>
          <w:tcPr>
            <w:tcW w:w="1986" w:type="dxa"/>
            <w:vMerge w:val="restart"/>
            <w:vAlign w:val="center"/>
          </w:tcPr>
          <w:p w:rsidR="009E4B20" w:rsidRDefault="004169F2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、服务内容</w:t>
            </w: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根据国内外最新技术和应用发展情况以及厦门自身发展需要，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编制、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更新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和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完善拟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申报的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年无线电管理技术设施建设项目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并通过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专家评审，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提交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符合工信部无线电管理局要求的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lastRenderedPageBreak/>
              <w:t>项目可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报告和专家评审意见以及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项目申报书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协同项目申报，完成无线电管理技术设施建设项目“一下”审核意见修改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根据工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信部无线电管理经费资金申报要求和项目申报方向，结合前期已有技术设施项目库以及我局工作实际，编制厦门市无线电管理局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-20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年技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术设施建设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并通过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专家评审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报告编制需符合《福建省工业和信息化厅无线电基础和技术设施建设项目管理办法》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闽工信函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频管〔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〕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417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号要求，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原则上包括以下内容：项目概况，需求分析与建设规模，外部配套条件，项目选址及建设条件，建设方案，环境保护、消防、职业安全卫生、节能和地震安全，建设招标方案，投资估算，社会效益分析，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lastRenderedPageBreak/>
              <w:t>建设周期和工程进度安排等。涉及具体产品的，一般只列出满足建设项目要求的主要指标参数，原则上不得提出拟选用的产品品牌规格（含厂家、型号等）。如需列出详细的技术指标参数的和产品规格的，应列出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家及以上不同厂家的型号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进行对比论证，并说明理由。项目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中涉及建设规模、建设方案和投资估算等内容应达到初步设计深度要求。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完成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的同时，应根据《财政部关于印发政府采购需求管理办法的通知》（财库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[2021]22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号）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要求，按需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编制项目的《采购需求文件》和《采购实施计划》。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编制建设项目三年滚动计划。根据国家规划及我局建设现状，统筹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-20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年无线电管理技术设施建设，编制厦门市无线电管理技术设施建设项目三年滚动计划。编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lastRenderedPageBreak/>
              <w:t>制期间，协助开展建设需求调研、项目论证等工作，做好服务保障和相关资料收集。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6.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根据厦门市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年度无线电管理经费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资金使用情况，编制厦门市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年度项目执行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情况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 w:val="restart"/>
            <w:vAlign w:val="center"/>
          </w:tcPr>
          <w:p w:rsidR="009E4B20" w:rsidRDefault="004169F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、服务要求</w:t>
            </w:r>
          </w:p>
          <w:p w:rsidR="009E4B20" w:rsidRDefault="009E4B20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服务时间：合同签订日起至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日。其中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拟申报的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年技术设施建设项目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编制和</w:t>
            </w:r>
            <w:proofErr w:type="gramStart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完善须</w:t>
            </w:r>
            <w:proofErr w:type="gramEnd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在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日前完成；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日前须完成厦门市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年度项目执行情况评价报告。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上述完成时间节点根据工信部无管局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年资金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项目申报时间要求视情调整。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pStyle w:val="a3"/>
              <w:widowControl/>
              <w:shd w:val="clear" w:color="auto" w:fill="FFFFFF"/>
              <w:wordWrap w:val="0"/>
              <w:spacing w:beforeAutospacing="0" w:afterAutospacing="0" w:line="500" w:lineRule="exact"/>
              <w:ind w:firstLine="665"/>
              <w:jc w:val="both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2.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服务供应商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应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熟悉无线电项目建设、申报、审查有关要求，能够针对本项目组建专门的研究团队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团队至少应有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名中级（含中级）以上职称人员（提供社保缴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交记录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等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服务供应商在实施过程中，应与采购人联系沟通及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lastRenderedPageBreak/>
              <w:t>汇报工作，发现问题及时上报。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jc w:val="left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4.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服务供应商对执行本项目过程中知悉的涉密信息严加保密，不得将其知悉的秘密和采购人提供的资料对外泄露。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c>
          <w:tcPr>
            <w:tcW w:w="1986" w:type="dxa"/>
            <w:vMerge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5.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要求开展专家评审的需</w:t>
            </w:r>
            <w:r>
              <w:rPr>
                <w:rFonts w:ascii="仿宋_GB2312" w:eastAsia="仿宋_GB2312" w:hint="eastAsia"/>
                <w:sz w:val="32"/>
                <w:szCs w:val="32"/>
              </w:rPr>
              <w:t>组织不少于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名专家进行专业评审，所需经费由服务供应商负责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服务供应商按评审意见修改完善并提交研究成果。</w:t>
            </w:r>
          </w:p>
        </w:tc>
        <w:tc>
          <w:tcPr>
            <w:tcW w:w="1576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rPr>
          <w:trHeight w:val="2550"/>
        </w:trPr>
        <w:tc>
          <w:tcPr>
            <w:tcW w:w="1986" w:type="dxa"/>
            <w:vMerge w:val="restart"/>
            <w:vAlign w:val="center"/>
          </w:tcPr>
          <w:p w:rsidR="009E4B20" w:rsidRDefault="004169F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、验收及付款方式</w:t>
            </w:r>
          </w:p>
          <w:p w:rsidR="009E4B20" w:rsidRDefault="009E4B20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sz w:val="32"/>
                <w:szCs w:val="32"/>
              </w:rPr>
              <w:t>服务供应商完成</w:t>
            </w: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年技术设施建设项目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项目可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报告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编制、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更新</w:t>
            </w:r>
            <w:r>
              <w:rPr>
                <w:rFonts w:ascii="仿宋_GB2312" w:eastAsia="仿宋_GB2312" w:hint="eastAsia"/>
                <w:sz w:val="32"/>
                <w:szCs w:val="32"/>
              </w:rPr>
              <w:t>和</w:t>
            </w:r>
            <w:r>
              <w:rPr>
                <w:rFonts w:ascii="仿宋_GB2312" w:eastAsia="仿宋_GB2312" w:hint="eastAsia"/>
                <w:sz w:val="32"/>
                <w:szCs w:val="32"/>
              </w:rPr>
              <w:t>完善后</w:t>
            </w: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个工作日内，支付合同总价的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0%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76" w:type="dxa"/>
            <w:vMerge w:val="restart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  <w:vMerge w:val="restart"/>
          </w:tcPr>
          <w:p w:rsidR="009E4B20" w:rsidRDefault="009E4B20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9E4B20">
        <w:trPr>
          <w:trHeight w:val="2550"/>
        </w:trPr>
        <w:tc>
          <w:tcPr>
            <w:tcW w:w="1986" w:type="dxa"/>
            <w:vMerge/>
            <w:vAlign w:val="center"/>
          </w:tcPr>
          <w:p w:rsidR="009E4B20" w:rsidRDefault="009E4B20">
            <w:pPr>
              <w:autoSpaceDE w:val="0"/>
              <w:autoSpaceDN w:val="0"/>
              <w:adjustRightInd w:val="0"/>
              <w:spacing w:line="600" w:lineRule="exact"/>
              <w:ind w:firstLineChars="200" w:firstLine="420"/>
              <w:jc w:val="left"/>
            </w:pPr>
          </w:p>
        </w:tc>
        <w:tc>
          <w:tcPr>
            <w:tcW w:w="4332" w:type="dxa"/>
          </w:tcPr>
          <w:p w:rsidR="009E4B20" w:rsidRDefault="004169F2">
            <w:pPr>
              <w:autoSpaceDE w:val="0"/>
              <w:autoSpaceDN w:val="0"/>
              <w:adjustRightInd w:val="0"/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sz w:val="32"/>
                <w:szCs w:val="32"/>
              </w:rPr>
              <w:t>服务供应商</w:t>
            </w:r>
            <w:r>
              <w:rPr>
                <w:rFonts w:ascii="仿宋_GB2312" w:eastAsia="仿宋_GB2312" w:hint="eastAsia"/>
                <w:sz w:val="32"/>
                <w:szCs w:val="32"/>
              </w:rPr>
              <w:t>完成全部服务内容并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经采购人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验收合格，在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个工作日内，支付剩余合同款项。</w:t>
            </w:r>
          </w:p>
        </w:tc>
        <w:tc>
          <w:tcPr>
            <w:tcW w:w="1576" w:type="dxa"/>
            <w:vMerge/>
          </w:tcPr>
          <w:p w:rsidR="009E4B20" w:rsidRDefault="009E4B20">
            <w:pPr>
              <w:autoSpaceDE w:val="0"/>
              <w:autoSpaceDN w:val="0"/>
              <w:adjustRightInd w:val="0"/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:rsidR="009E4B20" w:rsidRDefault="009E4B20">
            <w:pPr>
              <w:autoSpaceDE w:val="0"/>
              <w:autoSpaceDN w:val="0"/>
              <w:adjustRightInd w:val="0"/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E4B20" w:rsidRDefault="004169F2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（八）其他。</w:t>
      </w:r>
      <w:r>
        <w:rPr>
          <w:rFonts w:ascii="仿宋_GB2312" w:eastAsia="仿宋_GB2312" w:hAnsi="等线" w:cs="Times New Roman" w:hint="eastAsia"/>
          <w:sz w:val="32"/>
          <w:szCs w:val="32"/>
        </w:rPr>
        <w:t xml:space="preserve">   </w:t>
      </w:r>
    </w:p>
    <w:p w:rsidR="009E4B20" w:rsidRDefault="009E4B20"/>
    <w:p w:rsidR="009E4B20" w:rsidRDefault="009E4B20"/>
    <w:sectPr w:rsidR="009E4B20" w:rsidSect="009E4B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9F2" w:rsidRDefault="004169F2" w:rsidP="004169F2">
      <w:r>
        <w:separator/>
      </w:r>
    </w:p>
  </w:endnote>
  <w:endnote w:type="continuationSeparator" w:id="1">
    <w:p w:rsidR="004169F2" w:rsidRDefault="004169F2" w:rsidP="0041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00" w:usb3="00000000" w:csb0="00000000" w:csb1="00000000"/>
  </w:font>
  <w:font w:name="DejaVuSans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9F2" w:rsidRDefault="004169F2" w:rsidP="004169F2">
      <w:r>
        <w:separator/>
      </w:r>
    </w:p>
  </w:footnote>
  <w:footnote w:type="continuationSeparator" w:id="1">
    <w:p w:rsidR="004169F2" w:rsidRDefault="004169F2" w:rsidP="00416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303549"/>
    <w:rsid w:val="004169F2"/>
    <w:rsid w:val="009E4B20"/>
    <w:rsid w:val="1E1119F2"/>
    <w:rsid w:val="23E40FA6"/>
    <w:rsid w:val="28AB2123"/>
    <w:rsid w:val="4BCC34BD"/>
    <w:rsid w:val="59206519"/>
    <w:rsid w:val="59303549"/>
    <w:rsid w:val="7803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9E4B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E4B2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E4B2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9E4B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16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169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16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169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1601</Words>
  <Characters>222</Characters>
  <Application>Microsoft Office Word</Application>
  <DocSecurity>0</DocSecurity>
  <Lines>1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卢建锋3</dc:creator>
  <cp:lastModifiedBy>赖艺</cp:lastModifiedBy>
  <cp:revision>2</cp:revision>
  <dcterms:created xsi:type="dcterms:W3CDTF">2026-04-07T00:48:00Z</dcterms:created>
  <dcterms:modified xsi:type="dcterms:W3CDTF">2026-04-07T00:48:00Z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