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sz w:val="28"/>
          <w:szCs w:val="28"/>
          <w:lang w:val="en-US"/>
        </w:rPr>
      </w:pPr>
      <w:r>
        <w:rPr>
          <w:rFonts w:hint="eastAsia" w:ascii="黑体" w:hAnsi="宋体" w:eastAsia="黑体" w:cs="黑体"/>
          <w:kern w:val="2"/>
          <w:sz w:val="32"/>
          <w:szCs w:val="24"/>
          <w:lang w:val="en-US" w:eastAsia="zh-CN" w:bidi="ar"/>
        </w:rPr>
        <w:t>附件1</w:t>
      </w:r>
    </w:p>
    <w:p>
      <w:pPr>
        <w:keepNext w:val="0"/>
        <w:keepLines w:val="0"/>
        <w:widowControl w:val="0"/>
        <w:suppressLineNumbers w:val="0"/>
        <w:autoSpaceDE w:val="0"/>
        <w:autoSpaceDN/>
        <w:spacing w:before="0" w:beforeAutospacing="0" w:after="0" w:afterAutospacing="0" w:line="640" w:lineRule="exact"/>
        <w:ind w:left="0" w:right="0" w:firstLine="880" w:firstLineChars="200"/>
        <w:jc w:val="center"/>
        <w:rPr>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0" w:beforeAutospacing="0" w:after="0" w:afterAutospacing="0" w:line="640" w:lineRule="exact"/>
        <w:ind w:left="0" w:right="0" w:firstLine="880" w:firstLineChars="20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服务供应商报价函（格式样例）</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Calibri"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三明市无线电管理局：</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关于本次询价的三明市无线电管理局2026年福建省第十八届运动会和第十二届老年人体育健身大会无线电安全保障技术服务购买项目，我公司已详细阅读了贵单位发布的项目采购询价公告，完全理解项目要求，决定参加报价。</w:t>
      </w:r>
    </w:p>
    <w:p>
      <w:pPr>
        <w:keepNext w:val="0"/>
        <w:keepLines w:val="0"/>
        <w:pageBreakBefore w:val="0"/>
        <w:widowControl w:val="0"/>
        <w:numPr>
          <w:ilvl w:val="0"/>
          <w:numId w:val="1"/>
        </w:numPr>
        <w:suppressLineNumbers w:val="0"/>
        <w:kinsoku/>
        <w:wordWrap/>
        <w:overflowPunct/>
        <w:topLinePunct w:val="0"/>
        <w:autoSpaceDN/>
        <w:bidi w:val="0"/>
        <w:adjustRightInd w:val="0"/>
        <w:snapToGrid w:val="0"/>
        <w:spacing w:before="0" w:beforeAutospacing="0" w:after="0" w:afterAutospacing="0" w:line="560" w:lineRule="exact"/>
        <w:ind w:left="1280" w:right="0" w:hanging="640"/>
        <w:jc w:val="both"/>
        <w:textAlignment w:val="auto"/>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报价表</w:t>
      </w: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01"/>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5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jc w:val="center"/>
              <w:textAlignment w:val="auto"/>
              <w:rPr>
                <w:rFonts w:hint="eastAsia" w:ascii="仿宋_GB2312" w:hAnsi="Calibri"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项目</w:t>
            </w:r>
          </w:p>
        </w:tc>
        <w:tc>
          <w:tcPr>
            <w:tcW w:w="25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jc w:val="center"/>
              <w:textAlignment w:val="auto"/>
              <w:rPr>
                <w:rFonts w:hint="eastAsia" w:ascii="仿宋_GB2312" w:hAnsi="Calibri"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jc w:val="center"/>
              <w:textAlignment w:val="auto"/>
              <w:rPr>
                <w:rFonts w:hint="eastAsia" w:ascii="仿宋_GB2312" w:hAnsi="Calibri" w:eastAsia="仿宋_GB2312" w:cs="仿宋_GB2312"/>
                <w:sz w:val="28"/>
                <w:szCs w:val="28"/>
                <w:lang w:val="en-US"/>
              </w:rPr>
            </w:pPr>
            <w:r>
              <w:rPr>
                <w:rFonts w:hint="eastAsia" w:ascii="仿宋_GB2312" w:hAnsi="Calibri" w:eastAsia="仿宋_GB2312" w:cs="仿宋_GB2312"/>
                <w:sz w:val="28"/>
                <w:szCs w:val="28"/>
                <w:lang w:val="en-US" w:eastAsia="zh-CN"/>
              </w:rPr>
              <w:t>三明市无线电管理局2026年福建省第十八届运动会和第十二届老年人体育健身大会无线电安全保障技术服务购买项目</w:t>
            </w:r>
          </w:p>
        </w:tc>
        <w:tc>
          <w:tcPr>
            <w:tcW w:w="25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jc w:val="center"/>
              <w:textAlignment w:val="auto"/>
              <w:rPr>
                <w:rFonts w:hint="eastAsia" w:ascii="仿宋_GB2312" w:hAnsi="Calibri" w:eastAsia="仿宋_GB2312" w:cs="仿宋_GB2312"/>
                <w:sz w:val="28"/>
                <w:szCs w:val="28"/>
                <w:lang w:val="en-US"/>
              </w:rPr>
            </w:pPr>
          </w:p>
        </w:tc>
      </w:tr>
    </w:tbl>
    <w:p>
      <w:pPr>
        <w:keepNext w:val="0"/>
        <w:keepLines w:val="0"/>
        <w:pageBreakBefore w:val="0"/>
        <w:widowControl w:val="0"/>
        <w:numPr>
          <w:ilvl w:val="0"/>
          <w:numId w:val="1"/>
        </w:numPr>
        <w:suppressLineNumbers w:val="0"/>
        <w:kinsoku/>
        <w:wordWrap/>
        <w:overflowPunct/>
        <w:topLinePunct w:val="0"/>
        <w:autoSpaceDN/>
        <w:bidi w:val="0"/>
        <w:adjustRightInd w:val="0"/>
        <w:snapToGrid w:val="0"/>
        <w:spacing w:before="0" w:beforeAutospacing="0" w:after="0" w:afterAutospacing="0" w:line="560" w:lineRule="exact"/>
        <w:ind w:left="1280" w:right="0" w:hanging="640"/>
        <w:jc w:val="both"/>
        <w:textAlignment w:val="auto"/>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相关佐证材料</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640" w:right="0"/>
        <w:jc w:val="both"/>
        <w:textAlignment w:val="auto"/>
        <w:rPr>
          <w:rFonts w:hint="eastAsia" w:ascii="仿宋_GB2312" w:hAnsi="Calibri"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（若有请附上）</w:t>
      </w:r>
    </w:p>
    <w:p>
      <w:pPr>
        <w:keepNext w:val="0"/>
        <w:keepLines w:val="0"/>
        <w:pageBreakBefore w:val="0"/>
        <w:widowControl w:val="0"/>
        <w:numPr>
          <w:ilvl w:val="0"/>
          <w:numId w:val="1"/>
        </w:numPr>
        <w:suppressLineNumbers w:val="0"/>
        <w:kinsoku/>
        <w:wordWrap/>
        <w:overflowPunct/>
        <w:topLinePunct w:val="0"/>
        <w:autoSpaceDN/>
        <w:bidi w:val="0"/>
        <w:adjustRightInd w:val="0"/>
        <w:snapToGrid w:val="0"/>
        <w:spacing w:before="0" w:beforeAutospacing="0" w:after="0" w:afterAutospacing="0" w:line="560" w:lineRule="exact"/>
        <w:ind w:left="1280" w:right="0" w:hanging="640"/>
        <w:jc w:val="both"/>
        <w:textAlignment w:val="auto"/>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联系方式</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641" w:right="0"/>
        <w:jc w:val="both"/>
        <w:textAlignment w:val="auto"/>
        <w:rPr>
          <w:rFonts w:hint="eastAsia" w:ascii="仿宋_GB2312" w:hAnsi="Calibri"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联系人：***       联系电话：***</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641" w:right="0"/>
        <w:jc w:val="both"/>
        <w:textAlignment w:val="auto"/>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公司注册地详细地址：****</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640" w:right="0"/>
        <w:jc w:val="both"/>
        <w:textAlignment w:val="auto"/>
        <w:rPr>
          <w:rFonts w:hint="eastAsia" w:ascii="仿宋_GB2312" w:eastAsia="仿宋_GB2312" w:cs="仿宋_GB2312"/>
          <w:sz w:val="44"/>
          <w:szCs w:val="44"/>
          <w:lang w:val="en-US"/>
        </w:rPr>
      </w:pPr>
      <w:r>
        <w:rPr>
          <w:rFonts w:hint="eastAsia" w:ascii="仿宋_GB2312" w:hAnsi="Times New Roman" w:eastAsia="仿宋_GB2312" w:cs="仿宋_GB2312"/>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640" w:right="0"/>
        <w:jc w:val="both"/>
        <w:textAlignment w:val="auto"/>
        <w:rPr>
          <w:rFonts w:hint="eastAsia" w:ascii="仿宋_GB2312" w:eastAsia="仿宋_GB2312" w:cs="仿宋_GB2312"/>
          <w:sz w:val="28"/>
          <w:szCs w:val="28"/>
          <w:lang w:val="en-US"/>
        </w:rPr>
      </w:pPr>
      <w:r>
        <w:rPr>
          <w:rFonts w:hint="eastAsia" w:ascii="仿宋_GB2312" w:hAnsi="Times New Roman" w:eastAsia="仿宋_GB2312" w:cs="仿宋_GB2312"/>
          <w:kern w:val="2"/>
          <w:sz w:val="44"/>
          <w:szCs w:val="44"/>
          <w:lang w:val="en-US" w:eastAsia="zh-CN" w:bidi="ar"/>
        </w:rPr>
        <w:t xml:space="preserve">                  </w:t>
      </w:r>
      <w:r>
        <w:rPr>
          <w:rFonts w:hint="eastAsia" w:ascii="仿宋_GB2312" w:hAnsi="Times New Roman" w:eastAsia="仿宋_GB2312" w:cs="仿宋_GB2312"/>
          <w:kern w:val="2"/>
          <w:sz w:val="28"/>
          <w:szCs w:val="28"/>
          <w:lang w:val="en-US" w:eastAsia="zh-CN" w:bidi="ar"/>
        </w:rPr>
        <w:t>报价单位（盖章）：***</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640" w:right="0"/>
        <w:jc w:val="both"/>
        <w:textAlignment w:val="auto"/>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 xml:space="preserve">                             日期：2025年*月*日</w:t>
      </w:r>
      <w:bookmarkStart w:id="0" w:name="_GoBack"/>
      <w:bookmarkEnd w:id="0"/>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Times New Roman" w:eastAsia="仿宋_GB2312" w:cs="仿宋_GB2312"/>
          <w:b/>
          <w:kern w:val="2"/>
          <w:sz w:val="24"/>
          <w:szCs w:val="24"/>
          <w:lang w:val="en-US" w:eastAsia="zh-CN" w:bidi="ar"/>
        </w:rPr>
      </w:pPr>
      <w:r>
        <w:rPr>
          <w:rFonts w:hint="eastAsia" w:ascii="仿宋_GB2312" w:hAnsi="Times New Roman" w:eastAsia="仿宋_GB2312" w:cs="仿宋_GB2312"/>
          <w:b/>
          <w:kern w:val="2"/>
          <w:sz w:val="24"/>
          <w:szCs w:val="24"/>
          <w:lang w:val="en-US" w:eastAsia="zh-CN" w:bidi="ar"/>
        </w:rPr>
        <w:t>备注：1.上述总价应包含所有服务以及相关税费等一切费用。</w:t>
      </w:r>
    </w:p>
    <w:p>
      <w:pPr>
        <w:pStyle w:val="2"/>
        <w:ind w:firstLine="720" w:firstLineChars="300"/>
        <w:rPr>
          <w:rFonts w:hint="default"/>
          <w:highlight w:val="yellow"/>
          <w:lang w:val="en-US"/>
        </w:rPr>
      </w:pPr>
      <w:r>
        <w:rPr>
          <w:rFonts w:hint="eastAsia" w:hAnsi="Times New Roman" w:cs="仿宋_GB2312"/>
          <w:b/>
          <w:kern w:val="2"/>
          <w:sz w:val="24"/>
          <w:szCs w:val="24"/>
          <w:highlight w:val="yellow"/>
          <w:lang w:val="en-US" w:eastAsia="zh-CN" w:bidi="ar"/>
        </w:rPr>
        <w:t>2.供应商报价高于48万元为无效报价。</w:t>
      </w:r>
    </w:p>
    <w:sectPr>
      <w:pgSz w:w="11906" w:h="16838"/>
      <w:pgMar w:top="1440" w:right="1800" w:bottom="1440" w:left="1800" w:header="851" w:footer="992" w:gutter="0"/>
      <w:cols w:space="708"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70B8"/>
    <w:multiLevelType w:val="multilevel"/>
    <w:tmpl w:val="121E70B8"/>
    <w:lvl w:ilvl="0" w:tentative="0">
      <w:start w:val="1"/>
      <w:numFmt w:val="chineseCountingThousand"/>
      <w:lvlText w:val="%1、"/>
      <w:lvlJc w:val="left"/>
      <w:pPr>
        <w:tabs>
          <w:tab w:val="left" w:pos="1280"/>
        </w:tabs>
        <w:ind w:left="1280" w:hanging="640"/>
      </w:pPr>
      <w:rPr>
        <w:rFonts w:hint="default" w:ascii="Times New Roman" w:hAnsi="Times New Roman" w:cs="Times New Roman"/>
      </w:rPr>
    </w:lvl>
    <w:lvl w:ilvl="1" w:tentative="0">
      <w:start w:val="1"/>
      <w:numFmt w:val="lowerLetter"/>
      <w:lvlText w:val="%2)"/>
      <w:lvlJc w:val="left"/>
      <w:pPr>
        <w:tabs>
          <w:tab w:val="left" w:pos="1480"/>
        </w:tabs>
        <w:ind w:left="1480" w:hanging="420"/>
      </w:pPr>
      <w:rPr>
        <w:rFonts w:hint="default" w:ascii="Times New Roman" w:hAnsi="Times New Roman" w:cs="Times New Roman"/>
      </w:rPr>
    </w:lvl>
    <w:lvl w:ilvl="2" w:tentative="0">
      <w:start w:val="1"/>
      <w:numFmt w:val="lowerRoman"/>
      <w:lvlText w:val="%3."/>
      <w:lvlJc w:val="right"/>
      <w:pPr>
        <w:tabs>
          <w:tab w:val="left" w:pos="1900"/>
        </w:tabs>
        <w:ind w:left="1900" w:hanging="420"/>
      </w:pPr>
      <w:rPr>
        <w:rFonts w:hint="default" w:ascii="Times New Roman" w:hAnsi="Times New Roman" w:cs="Times New Roman"/>
      </w:rPr>
    </w:lvl>
    <w:lvl w:ilvl="3" w:tentative="0">
      <w:start w:val="1"/>
      <w:numFmt w:val="decimal"/>
      <w:lvlText w:val="%4."/>
      <w:lvlJc w:val="left"/>
      <w:pPr>
        <w:tabs>
          <w:tab w:val="left" w:pos="2320"/>
        </w:tabs>
        <w:ind w:left="2320" w:hanging="420"/>
      </w:pPr>
      <w:rPr>
        <w:rFonts w:hint="default" w:ascii="Times New Roman" w:hAnsi="Times New Roman" w:cs="Times New Roman"/>
      </w:rPr>
    </w:lvl>
    <w:lvl w:ilvl="4" w:tentative="0">
      <w:start w:val="1"/>
      <w:numFmt w:val="lowerLetter"/>
      <w:lvlText w:val="%5)"/>
      <w:lvlJc w:val="left"/>
      <w:pPr>
        <w:tabs>
          <w:tab w:val="left" w:pos="2740"/>
        </w:tabs>
        <w:ind w:left="2740" w:hanging="420"/>
      </w:pPr>
      <w:rPr>
        <w:rFonts w:hint="default" w:ascii="Times New Roman" w:hAnsi="Times New Roman" w:cs="Times New Roman"/>
      </w:rPr>
    </w:lvl>
    <w:lvl w:ilvl="5" w:tentative="0">
      <w:start w:val="1"/>
      <w:numFmt w:val="lowerRoman"/>
      <w:lvlText w:val="%6."/>
      <w:lvlJc w:val="right"/>
      <w:pPr>
        <w:tabs>
          <w:tab w:val="left" w:pos="3160"/>
        </w:tabs>
        <w:ind w:left="3160" w:hanging="420"/>
      </w:pPr>
      <w:rPr>
        <w:rFonts w:hint="default" w:ascii="Times New Roman" w:hAnsi="Times New Roman" w:cs="Times New Roman"/>
      </w:rPr>
    </w:lvl>
    <w:lvl w:ilvl="6" w:tentative="0">
      <w:start w:val="1"/>
      <w:numFmt w:val="decimal"/>
      <w:lvlText w:val="%7."/>
      <w:lvlJc w:val="left"/>
      <w:pPr>
        <w:tabs>
          <w:tab w:val="left" w:pos="3580"/>
        </w:tabs>
        <w:ind w:left="3580" w:hanging="420"/>
      </w:pPr>
      <w:rPr>
        <w:rFonts w:hint="default" w:ascii="Times New Roman" w:hAnsi="Times New Roman" w:cs="Times New Roman"/>
      </w:rPr>
    </w:lvl>
    <w:lvl w:ilvl="7" w:tentative="0">
      <w:start w:val="1"/>
      <w:numFmt w:val="lowerLetter"/>
      <w:lvlText w:val="%8)"/>
      <w:lvlJc w:val="left"/>
      <w:pPr>
        <w:tabs>
          <w:tab w:val="left" w:pos="4000"/>
        </w:tabs>
        <w:ind w:left="4000" w:hanging="420"/>
      </w:pPr>
      <w:rPr>
        <w:rFonts w:hint="default" w:ascii="Times New Roman" w:hAnsi="Times New Roman" w:cs="Times New Roman"/>
      </w:rPr>
    </w:lvl>
    <w:lvl w:ilvl="8" w:tentative="0">
      <w:start w:val="1"/>
      <w:numFmt w:val="lowerRoman"/>
      <w:lvlText w:val="%9."/>
      <w:lvlJc w:val="right"/>
      <w:pPr>
        <w:tabs>
          <w:tab w:val="left" w:pos="4420"/>
        </w:tabs>
        <w:ind w:left="442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29EC3E48"/>
    <w:rsid w:val="381F3F2F"/>
    <w:rsid w:val="3B012895"/>
    <w:rsid w:val="7835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keepNext/>
      <w:keepLines/>
      <w:adjustRightInd/>
      <w:snapToGrid w:val="0"/>
      <w:spacing w:beforeLines="0" w:beforeAutospacing="0" w:after="200" w:afterLines="0" w:afterAutospacing="0" w:line="560" w:lineRule="exact"/>
      <w:ind w:firstLine="880" w:firstLineChars="200"/>
      <w:outlineLvl w:val="0"/>
    </w:pPr>
    <w:rPr>
      <w:rFonts w:ascii="仿宋_GB2312" w:hAnsi="仿宋_GB2312" w:eastAsia="仿宋_GB2312" w:cstheme="minorBidi"/>
      <w:kern w:val="44"/>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semiHidden/>
    <w:unhideWhenUsed/>
    <w:qFormat/>
    <w:uiPriority w:val="99"/>
    <w:pPr>
      <w:keepNext w:val="0"/>
      <w:keepLines w:val="0"/>
      <w:widowControl w:val="0"/>
      <w:suppressLineNumbers w:val="0"/>
      <w:adjustRightInd w:val="0"/>
      <w:snapToGrid w:val="0"/>
      <w:spacing w:before="0" w:beforeAutospacing="0" w:after="0" w:afterAutospacing="0" w:line="380" w:lineRule="exact"/>
      <w:ind w:left="0" w:right="0"/>
      <w:jc w:val="both"/>
    </w:pPr>
    <w:rPr>
      <w:rFonts w:hint="default" w:ascii="Times New Roman" w:hAnsi="Times New Roman" w:eastAsia="宋体" w:cs="Times New Roman"/>
      <w:kern w:val="2"/>
      <w:sz w:val="24"/>
      <w:szCs w:val="24"/>
      <w:lang w:val="en-US" w:eastAsia="zh-CN" w:bidi="ar"/>
    </w:rPr>
  </w:style>
  <w:style w:type="paragraph" w:styleId="4">
    <w:name w:val="Normal (Web)"/>
    <w:semiHidden/>
    <w:unhideWhenUsed/>
    <w:qFormat/>
    <w:uiPriority w:val="99"/>
    <w:pPr>
      <w:keepNext w:val="0"/>
      <w:keepLines w:val="0"/>
      <w:widowControl/>
      <w:suppressLineNumbers w:val="0"/>
      <w:adjustRightInd w:val="0"/>
      <w:snapToGrid w:val="0"/>
      <w:spacing w:before="0" w:beforeAutospacing="0" w:after="0" w:afterAutospacing="0" w:line="240" w:lineRule="auto"/>
      <w:ind w:left="0" w:right="0"/>
      <w:jc w:val="left"/>
    </w:pPr>
    <w:rPr>
      <w:rFonts w:hint="eastAsia" w:ascii="宋体" w:hAnsi="宋体" w:eastAsia="宋体" w:cs="宋体"/>
      <w:kern w:val="0"/>
      <w:sz w:val="24"/>
      <w:szCs w:val="24"/>
      <w:lang w:val="en-US" w:eastAsia="zh-CN" w:bidi="ar"/>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wxd007</dc:creator>
  <cp:lastModifiedBy>范普阅</cp:lastModifiedBy>
  <dcterms:modified xsi:type="dcterms:W3CDTF">2026-03-05T01:33:51Z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