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20" w:afterAutospacing="0" w:line="2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41414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widowControl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福建省工业和信息化厅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网络</w:t>
      </w:r>
    </w:p>
    <w:p>
      <w:pPr>
        <w:widowControl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安全保障服务项目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采购报价单</w:t>
      </w:r>
      <w:bookmarkStart w:id="0" w:name="_GoBack"/>
      <w:bookmarkEnd w:id="0"/>
    </w:p>
    <w:p>
      <w:pPr>
        <w:widowControl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 w:bidi="ar-SA"/>
        </w:rPr>
        <w:t xml:space="preserve">                                        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年   月   日</w:t>
      </w: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报价供应商：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            （盖章） </w:t>
      </w: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联系人：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联系方式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</w:t>
      </w: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325"/>
        <w:tblOverlap w:val="never"/>
        <w:tblW w:w="77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96"/>
        <w:gridCol w:w="1383"/>
        <w:gridCol w:w="810"/>
        <w:gridCol w:w="1006"/>
        <w:gridCol w:w="917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序号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货物、服务名称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规格技</w:t>
            </w:r>
          </w:p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术指标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数量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单位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单价</w:t>
            </w:r>
          </w:p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（元）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小计</w:t>
            </w:r>
          </w:p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1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2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3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合计 （元）</w:t>
            </w:r>
          </w:p>
        </w:tc>
        <w:tc>
          <w:tcPr>
            <w:tcW w:w="52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580" w:lineRule="exact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 </w:t>
            </w:r>
          </w:p>
        </w:tc>
      </w:tr>
    </w:tbl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widowControl w:val="0"/>
        <w:spacing w:line="580" w:lineRule="exact"/>
        <w:jc w:val="both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7"/>
          <w:szCs w:val="27"/>
          <w:lang w:eastAsia="zh-CN" w:bidi="ar-SA"/>
        </w:rPr>
        <w:t>备注：上述总价合计应包括所有货物或服务以及相关税费等一切费用。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高锦萍</cp:lastModifiedBy>
  <dcterms:modified xsi:type="dcterms:W3CDTF">2024-01-02T08:09:22Z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