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cs="Calibri"/>
          <w:sz w:val="36"/>
          <w:szCs w:val="36"/>
        </w:rPr>
      </w:pPr>
      <w:r>
        <w:rPr>
          <w:rFonts w:hint="eastAsia" w:cs="宋体"/>
          <w:sz w:val="36"/>
          <w:szCs w:val="36"/>
        </w:rPr>
        <w:t>采购内容及要求</w:t>
      </w:r>
    </w:p>
    <w:p>
      <w:pPr>
        <w:pStyle w:val="9"/>
        <w:jc w:val="left"/>
        <w:rPr>
          <w:rFonts w:cs="Calibri"/>
          <w:sz w:val="24"/>
          <w:szCs w:val="24"/>
        </w:rPr>
      </w:pPr>
      <w:bookmarkStart w:id="0" w:name="_Toc14358"/>
      <w:r>
        <w:rPr>
          <w:rFonts w:hint="eastAsia" w:cs="宋体"/>
          <w:sz w:val="24"/>
          <w:szCs w:val="24"/>
        </w:rPr>
        <w:t>一、项目概况</w:t>
      </w:r>
      <w:bookmarkEnd w:id="0"/>
    </w:p>
    <w:p>
      <w:pPr>
        <w:pStyle w:val="10"/>
        <w:widowControl/>
        <w:spacing w:beforeAutospacing="0" w:afterAutospacing="0" w:line="360" w:lineRule="auto"/>
        <w:ind w:firstLine="556" w:firstLineChars="232"/>
        <w:rPr>
          <w:rFonts w:ascii="宋体"/>
        </w:rPr>
      </w:pPr>
      <w:bookmarkStart w:id="1" w:name="_Toc9164"/>
      <w:r>
        <w:rPr>
          <w:rFonts w:hint="eastAsia" w:ascii="宋体" w:hAnsi="宋体" w:cs="宋体"/>
        </w:rPr>
        <w:t>漳州市无线电管理局现将原有</w:t>
      </w:r>
      <w:r>
        <w:rPr>
          <w:rFonts w:hint="eastAsia" w:ascii="宋体" w:hAnsi="宋体" w:cs="宋体"/>
          <w:lang w:eastAsia="zh-CN"/>
        </w:rPr>
        <w:t>监测</w:t>
      </w:r>
      <w:r>
        <w:rPr>
          <w:rFonts w:hint="eastAsia" w:ascii="宋体" w:hAnsi="宋体" w:cs="宋体"/>
        </w:rPr>
        <w:t>设备至</w:t>
      </w:r>
      <w:r>
        <w:rPr>
          <w:rFonts w:hint="eastAsia" w:ascii="宋体" w:hAnsi="宋体" w:cs="宋体"/>
          <w:lang w:eastAsia="zh-CN"/>
        </w:rPr>
        <w:t>搬至</w:t>
      </w:r>
      <w:r>
        <w:rPr>
          <w:rFonts w:hint="eastAsia" w:ascii="宋体" w:hAnsi="宋体" w:cs="宋体"/>
        </w:rPr>
        <w:t>新</w:t>
      </w:r>
      <w:r>
        <w:rPr>
          <w:rFonts w:hint="eastAsia" w:ascii="宋体" w:hAnsi="宋体" w:cs="宋体"/>
          <w:lang w:eastAsia="zh-CN"/>
        </w:rPr>
        <w:t>选定</w:t>
      </w:r>
      <w:r>
        <w:rPr>
          <w:rFonts w:hint="eastAsia" w:ascii="宋体" w:hAnsi="宋体" w:cs="宋体"/>
        </w:rPr>
        <w:t>站址，对新站址天线杆和设备机房内布局等基础设施进行对应的制造加工组装搭建，并与原设备进行集成安装调试。</w:t>
      </w:r>
    </w:p>
    <w:p>
      <w:pPr>
        <w:pStyle w:val="9"/>
        <w:jc w:val="left"/>
        <w:rPr>
          <w:rFonts w:cs="Calibri"/>
          <w:sz w:val="24"/>
          <w:szCs w:val="24"/>
        </w:rPr>
      </w:pPr>
      <w:r>
        <w:rPr>
          <w:rFonts w:hint="eastAsia" w:cs="宋体"/>
          <w:sz w:val="24"/>
          <w:szCs w:val="24"/>
        </w:rPr>
        <w:t>二、技术要求</w:t>
      </w:r>
      <w:bookmarkEnd w:id="1"/>
    </w:p>
    <w:p>
      <w:pPr>
        <w:pStyle w:val="10"/>
        <w:widowControl/>
        <w:spacing w:beforeAutospacing="0" w:afterAutospacing="0" w:line="360" w:lineRule="auto"/>
        <w:ind w:firstLine="318"/>
        <w:rPr>
          <w:b/>
          <w:bCs/>
        </w:rPr>
      </w:pPr>
      <w:bookmarkStart w:id="2" w:name="_Toc469321195"/>
      <w:bookmarkStart w:id="3" w:name="_Toc474310690"/>
      <w:bookmarkStart w:id="4" w:name="_Toc527100438"/>
      <w:bookmarkStart w:id="5" w:name="_Toc452989474"/>
      <w:bookmarkStart w:id="6" w:name="_Toc474311170"/>
      <w:bookmarkStart w:id="7" w:name="_Toc236548240"/>
      <w:bookmarkStart w:id="8" w:name="_Toc432356153"/>
      <w:bookmarkStart w:id="9" w:name="_Toc67492528"/>
      <w:bookmarkStart w:id="10" w:name="_Toc472675017"/>
      <w:bookmarkStart w:id="11" w:name="_Toc451441134"/>
      <w:bookmarkStart w:id="12" w:name="_Toc451330872"/>
      <w:r>
        <w:rPr>
          <w:rFonts w:hint="eastAsia" w:cs="宋体"/>
          <w:b/>
          <w:bCs/>
        </w:rPr>
        <w:t>站点搬迁安装服务</w:t>
      </w:r>
    </w:p>
    <w:p>
      <w:pPr>
        <w:spacing w:line="500" w:lineRule="exact"/>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建设需求</w:t>
      </w:r>
    </w:p>
    <w:p>
      <w:pPr>
        <w:spacing w:line="500" w:lineRule="exact"/>
        <w:ind w:firstLine="480" w:firstLineChars="200"/>
        <w:rPr>
          <w:rFonts w:ascii="宋体"/>
          <w:sz w:val="24"/>
          <w:szCs w:val="24"/>
        </w:rPr>
      </w:pPr>
      <w:r>
        <w:rPr>
          <w:rFonts w:ascii="宋体" w:hAnsi="宋体" w:cs="宋体"/>
          <w:sz w:val="24"/>
          <w:szCs w:val="24"/>
        </w:rPr>
        <w:t>1.1</w:t>
      </w:r>
      <w:r>
        <w:rPr>
          <w:rFonts w:hint="eastAsia" w:ascii="宋体" w:hAnsi="宋体" w:cs="宋体"/>
          <w:sz w:val="24"/>
          <w:szCs w:val="24"/>
        </w:rPr>
        <w:t>供应商需对测向天线、</w:t>
      </w:r>
      <w:r>
        <w:rPr>
          <w:rFonts w:hint="eastAsia" w:ascii="宋体" w:hAnsi="宋体" w:cs="宋体"/>
          <w:sz w:val="24"/>
          <w:szCs w:val="24"/>
          <w:lang w:eastAsia="zh-CN"/>
        </w:rPr>
        <w:t>测向接收机</w:t>
      </w:r>
      <w:r>
        <w:rPr>
          <w:rFonts w:hint="eastAsia" w:ascii="宋体" w:hAnsi="宋体" w:cs="宋体"/>
          <w:sz w:val="24"/>
          <w:szCs w:val="24"/>
        </w:rPr>
        <w:t>进行安装。</w:t>
      </w:r>
    </w:p>
    <w:p>
      <w:pPr>
        <w:spacing w:line="500" w:lineRule="exact"/>
        <w:ind w:firstLine="480" w:firstLineChars="200"/>
        <w:rPr>
          <w:rFonts w:ascii="宋体"/>
          <w:sz w:val="24"/>
          <w:szCs w:val="24"/>
        </w:rPr>
      </w:pPr>
      <w:r>
        <w:rPr>
          <w:rFonts w:ascii="宋体" w:hAnsi="宋体" w:cs="宋体"/>
          <w:sz w:val="24"/>
          <w:szCs w:val="24"/>
        </w:rPr>
        <w:t>1.1.1</w:t>
      </w:r>
      <w:r>
        <w:rPr>
          <w:rFonts w:hint="eastAsia" w:ascii="宋体" w:hAnsi="宋体" w:cs="宋体"/>
          <w:sz w:val="24"/>
          <w:szCs w:val="24"/>
        </w:rPr>
        <w:t>待安装天线清单</w:t>
      </w:r>
    </w:p>
    <w:tbl>
      <w:tblPr>
        <w:tblStyle w:val="11"/>
        <w:tblW w:w="4846" w:type="pct"/>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6"/>
        <w:gridCol w:w="4423"/>
        <w:gridCol w:w="2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60" w:type="pct"/>
            <w:vAlign w:val="center"/>
          </w:tcPr>
          <w:p>
            <w:pPr>
              <w:pStyle w:val="2"/>
              <w:jc w:val="center"/>
              <w:rPr>
                <w:rFonts w:ascii="宋体"/>
                <w:b/>
                <w:bCs/>
                <w:sz w:val="24"/>
                <w:szCs w:val="24"/>
              </w:rPr>
            </w:pPr>
            <w:r>
              <w:rPr>
                <w:rFonts w:hint="eastAsia" w:ascii="宋体" w:hAnsi="宋体" w:cs="宋体"/>
                <w:b/>
                <w:bCs/>
                <w:sz w:val="24"/>
                <w:szCs w:val="24"/>
              </w:rPr>
              <w:t>序号</w:t>
            </w:r>
          </w:p>
        </w:tc>
        <w:tc>
          <w:tcPr>
            <w:tcW w:w="2425" w:type="pct"/>
            <w:vAlign w:val="center"/>
          </w:tcPr>
          <w:p>
            <w:pPr>
              <w:pStyle w:val="2"/>
              <w:jc w:val="center"/>
              <w:rPr>
                <w:rFonts w:ascii="宋体"/>
                <w:b/>
                <w:bCs/>
                <w:sz w:val="24"/>
                <w:szCs w:val="24"/>
              </w:rPr>
            </w:pPr>
            <w:r>
              <w:rPr>
                <w:rFonts w:hint="eastAsia" w:ascii="宋体" w:hAnsi="宋体" w:cs="宋体"/>
                <w:b/>
                <w:bCs/>
                <w:sz w:val="24"/>
                <w:szCs w:val="24"/>
              </w:rPr>
              <w:t>名称</w:t>
            </w:r>
          </w:p>
        </w:tc>
        <w:tc>
          <w:tcPr>
            <w:tcW w:w="1413" w:type="pct"/>
            <w:vAlign w:val="center"/>
          </w:tcPr>
          <w:p>
            <w:pPr>
              <w:pStyle w:val="2"/>
              <w:jc w:val="center"/>
              <w:rPr>
                <w:rFonts w:ascii="宋体"/>
                <w:b/>
                <w:bCs/>
                <w:sz w:val="24"/>
                <w:szCs w:val="24"/>
              </w:rPr>
            </w:pPr>
            <w:r>
              <w:rPr>
                <w:rFonts w:hint="eastAsia" w:ascii="宋体" w:hAnsi="宋体" w:cs="宋体"/>
                <w:b/>
                <w:bCs/>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160" w:type="pct"/>
            <w:vAlign w:val="center"/>
          </w:tcPr>
          <w:p>
            <w:pPr>
              <w:pStyle w:val="2"/>
              <w:jc w:val="center"/>
              <w:rPr>
                <w:rFonts w:ascii="宋体" w:hAnsi="宋体" w:cs="宋体"/>
                <w:sz w:val="24"/>
                <w:szCs w:val="24"/>
              </w:rPr>
            </w:pPr>
            <w:r>
              <w:rPr>
                <w:rFonts w:ascii="宋体" w:hAnsi="宋体" w:cs="宋体"/>
                <w:sz w:val="24"/>
                <w:szCs w:val="24"/>
              </w:rPr>
              <w:t>1</w:t>
            </w:r>
          </w:p>
        </w:tc>
        <w:tc>
          <w:tcPr>
            <w:tcW w:w="2425" w:type="pct"/>
            <w:vAlign w:val="center"/>
          </w:tcPr>
          <w:p>
            <w:pPr>
              <w:pStyle w:val="2"/>
              <w:jc w:val="center"/>
              <w:rPr>
                <w:rFonts w:ascii="宋体"/>
                <w:sz w:val="24"/>
                <w:szCs w:val="24"/>
              </w:rPr>
            </w:pPr>
            <w:r>
              <w:rPr>
                <w:rFonts w:hint="eastAsia" w:ascii="宋体" w:hAnsi="宋体" w:cs="宋体"/>
                <w:sz w:val="24"/>
                <w:szCs w:val="24"/>
              </w:rPr>
              <w:t>测向天线</w:t>
            </w:r>
          </w:p>
        </w:tc>
        <w:tc>
          <w:tcPr>
            <w:tcW w:w="1413" w:type="pct"/>
            <w:vAlign w:val="center"/>
          </w:tcPr>
          <w:p>
            <w:pPr>
              <w:pStyle w:val="2"/>
              <w:jc w:val="center"/>
              <w:rPr>
                <w:rFonts w:ascii="宋体" w:hAnsi="宋体" w:cs="宋体"/>
                <w:sz w:val="24"/>
                <w:szCs w:val="24"/>
              </w:rPr>
            </w:pPr>
            <w:r>
              <w:rPr>
                <w:rFonts w:ascii="宋体" w:hAnsi="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160" w:type="pct"/>
            <w:vAlign w:val="center"/>
          </w:tcPr>
          <w:p>
            <w:pPr>
              <w:pStyle w:val="2"/>
              <w:jc w:val="center"/>
              <w:rPr>
                <w:rFonts w:ascii="宋体" w:hAnsi="宋体" w:cs="宋体"/>
                <w:sz w:val="24"/>
                <w:szCs w:val="24"/>
              </w:rPr>
            </w:pPr>
            <w:r>
              <w:rPr>
                <w:rFonts w:ascii="宋体" w:hAnsi="宋体" w:cs="宋体"/>
                <w:sz w:val="24"/>
                <w:szCs w:val="24"/>
              </w:rPr>
              <w:t>2</w:t>
            </w:r>
          </w:p>
        </w:tc>
        <w:tc>
          <w:tcPr>
            <w:tcW w:w="2425" w:type="pct"/>
            <w:vAlign w:val="center"/>
          </w:tcPr>
          <w:p>
            <w:pPr>
              <w:pStyle w:val="2"/>
              <w:jc w:val="center"/>
              <w:rPr>
                <w:rFonts w:hint="eastAsia" w:ascii="宋体" w:eastAsia="宋体"/>
                <w:sz w:val="24"/>
                <w:szCs w:val="24"/>
                <w:lang w:eastAsia="zh-CN"/>
              </w:rPr>
            </w:pPr>
            <w:r>
              <w:rPr>
                <w:rFonts w:hint="eastAsia" w:ascii="宋体" w:hAnsi="宋体" w:cs="宋体"/>
                <w:sz w:val="24"/>
                <w:szCs w:val="24"/>
                <w:lang w:eastAsia="zh-CN"/>
              </w:rPr>
              <w:t>测向接收机</w:t>
            </w:r>
          </w:p>
        </w:tc>
        <w:tc>
          <w:tcPr>
            <w:tcW w:w="1413" w:type="pct"/>
            <w:vAlign w:val="center"/>
          </w:tcPr>
          <w:p>
            <w:pPr>
              <w:pStyle w:val="2"/>
              <w:jc w:val="center"/>
              <w:rPr>
                <w:rFonts w:ascii="宋体" w:hAnsi="宋体" w:cs="宋体"/>
                <w:sz w:val="24"/>
                <w:szCs w:val="24"/>
              </w:rPr>
            </w:pPr>
            <w:r>
              <w:rPr>
                <w:rFonts w:ascii="宋体" w:hAnsi="宋体" w:cs="宋体"/>
                <w:sz w:val="24"/>
                <w:szCs w:val="24"/>
              </w:rPr>
              <w:t>1</w:t>
            </w:r>
          </w:p>
        </w:tc>
      </w:tr>
    </w:tbl>
    <w:p>
      <w:pPr>
        <w:pStyle w:val="2"/>
        <w:rPr>
          <w:highlight w:val="yellow"/>
        </w:rPr>
      </w:pPr>
    </w:p>
    <w:p>
      <w:pPr>
        <w:spacing w:line="500" w:lineRule="exact"/>
        <w:ind w:firstLine="480" w:firstLineChars="200"/>
        <w:rPr>
          <w:rFonts w:ascii="宋体"/>
          <w:sz w:val="24"/>
          <w:szCs w:val="24"/>
        </w:rPr>
      </w:pPr>
      <w:r>
        <w:rPr>
          <w:rFonts w:ascii="宋体" w:hAnsi="宋体" w:cs="宋体"/>
          <w:sz w:val="24"/>
          <w:szCs w:val="24"/>
        </w:rPr>
        <w:t>1.2</w:t>
      </w:r>
      <w:r>
        <w:rPr>
          <w:rFonts w:hint="eastAsia" w:ascii="宋体" w:hAnsi="宋体" w:cs="宋体"/>
          <w:sz w:val="24"/>
          <w:szCs w:val="24"/>
        </w:rPr>
        <w:t>供应商需对新站址天线杆和设备机房内</w:t>
      </w:r>
      <w:bookmarkStart w:id="13" w:name="_GoBack"/>
      <w:bookmarkEnd w:id="13"/>
      <w:r>
        <w:rPr>
          <w:rFonts w:hint="eastAsia" w:ascii="宋体" w:hAnsi="宋体" w:cs="宋体"/>
          <w:sz w:val="24"/>
          <w:szCs w:val="24"/>
        </w:rPr>
        <w:t>布局等基础设施进行对应的制造加工，以满足与原设备的适配度问题。</w:t>
      </w:r>
    </w:p>
    <w:p>
      <w:pPr>
        <w:spacing w:line="500" w:lineRule="exact"/>
        <w:ind w:firstLine="480" w:firstLineChars="200"/>
        <w:rPr>
          <w:rFonts w:ascii="宋体"/>
          <w:sz w:val="24"/>
          <w:szCs w:val="24"/>
        </w:rPr>
      </w:pPr>
      <w:r>
        <w:rPr>
          <w:rFonts w:ascii="宋体" w:hAnsi="宋体" w:cs="宋体"/>
          <w:sz w:val="24"/>
          <w:szCs w:val="24"/>
        </w:rPr>
        <w:t>1.2.1</w:t>
      </w:r>
      <w:r>
        <w:rPr>
          <w:rFonts w:hint="eastAsia" w:ascii="宋体" w:hAnsi="宋体" w:cs="宋体"/>
          <w:sz w:val="24"/>
          <w:szCs w:val="24"/>
        </w:rPr>
        <w:t>天线杆及设备机房制造加工清单</w:t>
      </w:r>
    </w:p>
    <w:tbl>
      <w:tblPr>
        <w:tblStyle w:val="11"/>
        <w:tblW w:w="5000" w:type="pct"/>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1701"/>
        <w:gridCol w:w="990"/>
        <w:gridCol w:w="5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431" w:type="pct"/>
            <w:vAlign w:val="center"/>
          </w:tcPr>
          <w:p>
            <w:pPr>
              <w:pStyle w:val="2"/>
              <w:jc w:val="center"/>
              <w:rPr>
                <w:rFonts w:ascii="宋体"/>
                <w:b/>
                <w:bCs/>
                <w:sz w:val="24"/>
                <w:szCs w:val="24"/>
              </w:rPr>
            </w:pPr>
            <w:r>
              <w:rPr>
                <w:rFonts w:hint="eastAsia" w:ascii="宋体" w:hAnsi="宋体" w:cs="宋体"/>
                <w:b/>
                <w:bCs/>
                <w:sz w:val="24"/>
                <w:szCs w:val="24"/>
              </w:rPr>
              <w:t>序号</w:t>
            </w:r>
          </w:p>
        </w:tc>
        <w:tc>
          <w:tcPr>
            <w:tcW w:w="904" w:type="pct"/>
            <w:vAlign w:val="center"/>
          </w:tcPr>
          <w:p>
            <w:pPr>
              <w:pStyle w:val="2"/>
              <w:jc w:val="center"/>
              <w:rPr>
                <w:rFonts w:ascii="宋体"/>
                <w:b/>
                <w:bCs/>
                <w:sz w:val="24"/>
                <w:szCs w:val="24"/>
              </w:rPr>
            </w:pPr>
            <w:r>
              <w:rPr>
                <w:rFonts w:hint="eastAsia" w:ascii="宋体" w:hAnsi="宋体" w:cs="宋体"/>
                <w:b/>
                <w:bCs/>
                <w:sz w:val="24"/>
                <w:szCs w:val="24"/>
              </w:rPr>
              <w:t>名称</w:t>
            </w:r>
          </w:p>
        </w:tc>
        <w:tc>
          <w:tcPr>
            <w:tcW w:w="526" w:type="pct"/>
            <w:vAlign w:val="center"/>
          </w:tcPr>
          <w:p>
            <w:pPr>
              <w:pStyle w:val="2"/>
              <w:jc w:val="center"/>
              <w:rPr>
                <w:rFonts w:ascii="宋体"/>
                <w:b/>
                <w:bCs/>
                <w:sz w:val="24"/>
                <w:szCs w:val="24"/>
              </w:rPr>
            </w:pPr>
            <w:r>
              <w:rPr>
                <w:rFonts w:hint="eastAsia" w:ascii="宋体" w:hAnsi="宋体" w:cs="宋体"/>
                <w:b/>
                <w:bCs/>
                <w:sz w:val="24"/>
                <w:szCs w:val="24"/>
              </w:rPr>
              <w:t>数量</w:t>
            </w:r>
          </w:p>
        </w:tc>
        <w:tc>
          <w:tcPr>
            <w:tcW w:w="3137" w:type="pct"/>
            <w:vAlign w:val="center"/>
          </w:tcPr>
          <w:p>
            <w:pPr>
              <w:pStyle w:val="2"/>
              <w:jc w:val="center"/>
              <w:rPr>
                <w:rFonts w:ascii="宋体"/>
                <w:b/>
                <w:bCs/>
                <w:sz w:val="24"/>
                <w:szCs w:val="24"/>
              </w:rPr>
            </w:pPr>
            <w:r>
              <w:rPr>
                <w:rFonts w:hint="eastAsia" w:ascii="宋体" w:hAnsi="宋体" w:cs="宋体"/>
                <w:b/>
                <w:bCs/>
                <w:sz w:val="24"/>
                <w:szCs w:val="24"/>
              </w:rPr>
              <w:t>规格描述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Align w:val="center"/>
          </w:tcPr>
          <w:p>
            <w:pPr>
              <w:pStyle w:val="2"/>
              <w:jc w:val="center"/>
              <w:rPr>
                <w:rFonts w:ascii="宋体" w:hAnsi="宋体" w:cs="宋体"/>
                <w:sz w:val="24"/>
                <w:szCs w:val="24"/>
              </w:rPr>
            </w:pPr>
            <w:r>
              <w:rPr>
                <w:rFonts w:ascii="宋体" w:hAnsi="宋体" w:cs="宋体"/>
                <w:sz w:val="24"/>
                <w:szCs w:val="24"/>
              </w:rPr>
              <w:t>1</w:t>
            </w:r>
          </w:p>
        </w:tc>
        <w:tc>
          <w:tcPr>
            <w:tcW w:w="90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机房</w:t>
            </w:r>
          </w:p>
        </w:tc>
        <w:tc>
          <w:tcPr>
            <w:tcW w:w="526" w:type="pct"/>
            <w:vAlign w:val="center"/>
          </w:tcPr>
          <w:p>
            <w:pPr>
              <w:pStyle w:val="2"/>
              <w:jc w:val="center"/>
              <w:rPr>
                <w:rFonts w:ascii="宋体" w:hAnsi="宋体" w:cs="宋体"/>
                <w:sz w:val="24"/>
                <w:szCs w:val="24"/>
              </w:rPr>
            </w:pPr>
            <w:r>
              <w:rPr>
                <w:rFonts w:ascii="宋体" w:hAnsi="宋体" w:cs="宋体"/>
                <w:sz w:val="24"/>
                <w:szCs w:val="24"/>
              </w:rPr>
              <w:t>1</w:t>
            </w:r>
          </w:p>
        </w:tc>
        <w:tc>
          <w:tcPr>
            <w:tcW w:w="3137"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1、天线铁塔高度6米，热镀锌防腐处理。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2、机房面积8平米，机房使用静电地板，机房门采用钢制防火门。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3、机房吊顶、隔断、不锈钢踢脚线。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431" w:type="pct"/>
            <w:vAlign w:val="center"/>
          </w:tcPr>
          <w:p>
            <w:pPr>
              <w:pStyle w:val="2"/>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w:t>
            </w:r>
          </w:p>
        </w:tc>
        <w:tc>
          <w:tcPr>
            <w:tcW w:w="90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防雷系统</w:t>
            </w:r>
          </w:p>
        </w:tc>
        <w:tc>
          <w:tcPr>
            <w:tcW w:w="526" w:type="pct"/>
            <w:vAlign w:val="center"/>
          </w:tcPr>
          <w:p>
            <w:pPr>
              <w:pStyle w:val="2"/>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c>
          <w:tcPr>
            <w:tcW w:w="3137"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1、避雷器，包括雷电感应防护、防雷接地。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Align w:val="center"/>
          </w:tcPr>
          <w:p>
            <w:pPr>
              <w:pStyle w:val="2"/>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3</w:t>
            </w:r>
          </w:p>
        </w:tc>
        <w:tc>
          <w:tcPr>
            <w:tcW w:w="90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机房内视频监控</w:t>
            </w:r>
          </w:p>
        </w:tc>
        <w:tc>
          <w:tcPr>
            <w:tcW w:w="526" w:type="pct"/>
            <w:vAlign w:val="center"/>
          </w:tcPr>
          <w:p>
            <w:pPr>
              <w:pStyle w:val="2"/>
              <w:jc w:val="center"/>
              <w:rPr>
                <w:rFonts w:hint="eastAsia" w:ascii="宋体" w:hAnsi="宋体" w:eastAsia="宋体" w:cs="宋体"/>
                <w:sz w:val="24"/>
                <w:szCs w:val="24"/>
                <w:lang w:val="en-US" w:eastAsia="zh-CN"/>
              </w:rPr>
            </w:pPr>
            <w:r>
              <w:rPr>
                <w:rFonts w:ascii="宋体" w:hAnsi="宋体" w:cs="宋体"/>
                <w:sz w:val="24"/>
                <w:szCs w:val="24"/>
              </w:rPr>
              <w:t>1</w:t>
            </w:r>
          </w:p>
        </w:tc>
        <w:tc>
          <w:tcPr>
            <w:tcW w:w="3137"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机房内摄像头支持火点及高温物品点位识别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Align w:val="center"/>
          </w:tcPr>
          <w:p>
            <w:pPr>
              <w:pStyle w:val="2"/>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4</w:t>
            </w:r>
          </w:p>
        </w:tc>
        <w:tc>
          <w:tcPr>
            <w:tcW w:w="90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铁塔视频监控</w:t>
            </w:r>
          </w:p>
        </w:tc>
        <w:tc>
          <w:tcPr>
            <w:tcW w:w="526" w:type="pct"/>
            <w:vAlign w:val="center"/>
          </w:tcPr>
          <w:p>
            <w:pPr>
              <w:pStyle w:val="2"/>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c>
          <w:tcPr>
            <w:tcW w:w="3137"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最高分辨率可达2560 × 1440 @25 fps，在该分辨率下可输出实时图像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支持Smart侦测：区域入侵侦测、越界侦测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支持背光补偿，强光抑制，3D数字降噪，120 dB宽动态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支持PTZ控制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支持白光/红外双补光，红外光最远可达50 m，白光最远可达30 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支持最大256 GB MicroSD/MicroSDHC/MicroSDXC卡本地存储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1个内置麦克风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符合IP66防尘防水设计，可靠性高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Align w:val="center"/>
          </w:tcPr>
          <w:p>
            <w:pPr>
              <w:pStyle w:val="2"/>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5</w:t>
            </w:r>
          </w:p>
        </w:tc>
        <w:tc>
          <w:tcPr>
            <w:tcW w:w="90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硬盘录像机</w:t>
            </w:r>
          </w:p>
        </w:tc>
        <w:tc>
          <w:tcPr>
            <w:tcW w:w="526" w:type="pct"/>
            <w:vAlign w:val="center"/>
          </w:tcPr>
          <w:p>
            <w:pPr>
              <w:pStyle w:val="2"/>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c>
          <w:tcPr>
            <w:tcW w:w="3137"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1、硬盘录像机存储设备可接入1T、2T、3T、4T、6T、8T、10T、12TB、14TB、16TB、18TB容量的SATA接口硬盘,存储设备可同时解码输出8路H.265编码、30fps、1920×1080格式的视频图像，或同时解码输出8路 H.265编码、25fps、4096×2160或者3840×2160格式的视频图像，或同时解码输出6路 H.265编码、20fps、4000×3000格式的视频图像，或同时解码输出2路H.265编码、25fps、8160×3616格式的视频图像。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硬盘录像机具有1个HDMI接口、1个VGA接口、2个RJ45千兆网络接口、1个USB2.0接口、1个USB3.0接口、1个CVBS接口；具有1路音频输入接口、1路音频输出接口，4路报警输入接口、1路报警输出接口；可内置3个SATA接口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Align w:val="center"/>
          </w:tcPr>
          <w:p>
            <w:pPr>
              <w:pStyle w:val="2"/>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6</w:t>
            </w:r>
          </w:p>
        </w:tc>
        <w:tc>
          <w:tcPr>
            <w:tcW w:w="90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空调设备</w:t>
            </w:r>
          </w:p>
        </w:tc>
        <w:tc>
          <w:tcPr>
            <w:tcW w:w="526" w:type="pct"/>
            <w:vAlign w:val="center"/>
          </w:tcPr>
          <w:p>
            <w:pPr>
              <w:pStyle w:val="2"/>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c>
          <w:tcPr>
            <w:tcW w:w="3137"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1、满足监测系统使用的温湿度要求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2、1.5匹空调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一级能效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Align w:val="center"/>
          </w:tcPr>
          <w:p>
            <w:pPr>
              <w:pStyle w:val="2"/>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7</w:t>
            </w:r>
          </w:p>
        </w:tc>
        <w:tc>
          <w:tcPr>
            <w:tcW w:w="90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配套改造机房环境及室外环境改造</w:t>
            </w:r>
          </w:p>
        </w:tc>
        <w:tc>
          <w:tcPr>
            <w:tcW w:w="526" w:type="pct"/>
            <w:vAlign w:val="center"/>
          </w:tcPr>
          <w:p>
            <w:pPr>
              <w:pStyle w:val="2"/>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c>
          <w:tcPr>
            <w:tcW w:w="3137"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1、机房配电箱含线路。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2、铁塔基础加固。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3、机房到铁塔的走线架。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Align w:val="center"/>
          </w:tcPr>
          <w:p>
            <w:pPr>
              <w:pStyle w:val="2"/>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8</w:t>
            </w:r>
          </w:p>
        </w:tc>
        <w:tc>
          <w:tcPr>
            <w:tcW w:w="90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机柜</w:t>
            </w:r>
          </w:p>
        </w:tc>
        <w:tc>
          <w:tcPr>
            <w:tcW w:w="526" w:type="pct"/>
            <w:vAlign w:val="center"/>
          </w:tcPr>
          <w:p>
            <w:pPr>
              <w:pStyle w:val="2"/>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c>
          <w:tcPr>
            <w:tcW w:w="3137"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1、标准19英寸42U。尺寸600×1000×2000。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2、前后网孔门，含三个层板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Align w:val="center"/>
          </w:tcPr>
          <w:p>
            <w:pPr>
              <w:pStyle w:val="2"/>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9</w:t>
            </w:r>
          </w:p>
        </w:tc>
        <w:tc>
          <w:tcPr>
            <w:tcW w:w="90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系统实施</w:t>
            </w:r>
          </w:p>
        </w:tc>
        <w:tc>
          <w:tcPr>
            <w:tcW w:w="526" w:type="pct"/>
            <w:vAlign w:val="center"/>
          </w:tcPr>
          <w:p>
            <w:pPr>
              <w:pStyle w:val="2"/>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c>
          <w:tcPr>
            <w:tcW w:w="3137"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1、原监测设备的搬迁、新地点的安装。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2、村广播系统的搬迁安装调试</w:t>
            </w:r>
          </w:p>
        </w:tc>
      </w:tr>
    </w:tbl>
    <w:p>
      <w:pPr>
        <w:pStyle w:val="2"/>
      </w:pPr>
    </w:p>
    <w:p>
      <w:pPr>
        <w:pStyle w:val="9"/>
        <w:jc w:val="left"/>
        <w:rPr>
          <w:rFonts w:cs="Calibri"/>
          <w:sz w:val="24"/>
          <w:szCs w:val="24"/>
        </w:rPr>
      </w:pPr>
      <w:r>
        <w:rPr>
          <w:rFonts w:hint="eastAsia" w:cs="宋体"/>
          <w:sz w:val="24"/>
          <w:szCs w:val="24"/>
        </w:rPr>
        <w:t>三、验收条件</w:t>
      </w:r>
    </w:p>
    <w:p>
      <w:pPr>
        <w:pStyle w:val="10"/>
        <w:widowControl/>
        <w:spacing w:beforeAutospacing="0" w:afterAutospacing="0" w:line="360" w:lineRule="auto"/>
        <w:ind w:firstLine="318"/>
        <w:rPr>
          <w:b/>
          <w:bCs/>
        </w:rPr>
      </w:pPr>
      <w:r>
        <w:rPr>
          <w:rFonts w:hint="eastAsia" w:cs="宋体"/>
          <w:b/>
          <w:bCs/>
        </w:rPr>
        <w:t>站点搬迁安装工作</w:t>
      </w:r>
    </w:p>
    <w:p>
      <w:pPr>
        <w:spacing w:line="500" w:lineRule="exact"/>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项目验收要求</w:t>
      </w:r>
    </w:p>
    <w:p>
      <w:pPr>
        <w:spacing w:line="500" w:lineRule="exact"/>
        <w:ind w:firstLine="480" w:firstLineChars="200"/>
        <w:rPr>
          <w:rFonts w:ascii="宋体"/>
          <w:sz w:val="24"/>
          <w:szCs w:val="24"/>
        </w:rPr>
      </w:pPr>
      <w:r>
        <w:rPr>
          <w:rFonts w:hint="eastAsia" w:ascii="宋体" w:hAnsi="宋体" w:cs="宋体"/>
          <w:sz w:val="24"/>
          <w:szCs w:val="24"/>
        </w:rPr>
        <w:t>本项目验收以招标文件、投标文件、技术方案、实施方案、系统测试方案、各项功能性能技术指标及最新的相关标准规范等为依据，严格按程序组织验收。若达不到验收要求，应予返工，直到达到要求为止。返工需人力、财力、工期延误等均由承包商承担。</w:t>
      </w:r>
    </w:p>
    <w:p>
      <w:pPr>
        <w:pStyle w:val="9"/>
        <w:jc w:val="left"/>
        <w:rPr>
          <w:rFonts w:cs="Calibri"/>
          <w:sz w:val="24"/>
          <w:szCs w:val="24"/>
        </w:rPr>
      </w:pPr>
      <w:r>
        <w:rPr>
          <w:rFonts w:hint="eastAsia" w:cs="宋体"/>
          <w:sz w:val="24"/>
          <w:szCs w:val="24"/>
        </w:rPr>
        <w:t>四、人员要求</w:t>
      </w:r>
    </w:p>
    <w:p>
      <w:pPr>
        <w:spacing w:line="500" w:lineRule="exact"/>
        <w:ind w:firstLine="480" w:firstLineChars="200"/>
        <w:rPr>
          <w:rFonts w:ascii="宋体" w:hAnsi="宋体" w:cs="宋体"/>
          <w:sz w:val="24"/>
          <w:szCs w:val="24"/>
        </w:rPr>
      </w:pPr>
      <w:r>
        <w:rPr>
          <w:rFonts w:hint="eastAsia" w:ascii="宋体" w:hAnsi="宋体" w:cs="宋体"/>
          <w:sz w:val="24"/>
          <w:szCs w:val="24"/>
        </w:rPr>
        <w:t>供应商应派出专业的项目人员，具体要求如下：</w:t>
      </w:r>
      <w:r>
        <w:rPr>
          <w:rFonts w:ascii="宋体" w:hAnsi="宋体" w:cs="宋体"/>
          <w:sz w:val="24"/>
          <w:szCs w:val="24"/>
        </w:rPr>
        <w:t xml:space="preserve"> </w:t>
      </w:r>
    </w:p>
    <w:p>
      <w:pPr>
        <w:spacing w:line="500" w:lineRule="exact"/>
        <w:ind w:firstLine="480" w:firstLineChars="200"/>
        <w:rPr>
          <w:rFonts w:ascii="宋体" w:hAnsi="宋体" w:cs="宋体"/>
          <w:sz w:val="24"/>
          <w:szCs w:val="24"/>
        </w:rPr>
      </w:pPr>
      <w:r>
        <w:rPr>
          <w:rFonts w:ascii="宋体" w:hAnsi="宋体" w:cs="宋体"/>
          <w:sz w:val="24"/>
          <w:szCs w:val="24"/>
        </w:rPr>
        <w:t>4.1</w:t>
      </w:r>
      <w:r>
        <w:rPr>
          <w:rFonts w:hint="eastAsia" w:ascii="宋体" w:hAnsi="宋体" w:cs="宋体"/>
          <w:sz w:val="24"/>
          <w:szCs w:val="24"/>
        </w:rPr>
        <w:t>供应商应成立专门服务于本项目的项目组，项目组成员人数不得少于</w:t>
      </w:r>
      <w:r>
        <w:rPr>
          <w:rFonts w:ascii="宋体" w:hAnsi="宋体" w:cs="宋体"/>
          <w:sz w:val="24"/>
          <w:szCs w:val="24"/>
        </w:rPr>
        <w:t xml:space="preserve"> 5 </w:t>
      </w:r>
      <w:r>
        <w:rPr>
          <w:rFonts w:hint="eastAsia" w:ascii="宋体" w:hAnsi="宋体" w:cs="宋体"/>
          <w:sz w:val="24"/>
          <w:szCs w:val="24"/>
        </w:rPr>
        <w:t>人。固定项目组人员，为采购人提供支持，项目组成员联系方式应全部提供给采购人；</w:t>
      </w:r>
      <w:r>
        <w:rPr>
          <w:rFonts w:ascii="宋体" w:hAnsi="宋体" w:cs="宋体"/>
          <w:sz w:val="24"/>
          <w:szCs w:val="24"/>
        </w:rPr>
        <w:t xml:space="preserve"> </w:t>
      </w:r>
    </w:p>
    <w:p>
      <w:pPr>
        <w:spacing w:line="500" w:lineRule="exact"/>
        <w:ind w:firstLine="480" w:firstLineChars="200"/>
        <w:rPr>
          <w:rFonts w:ascii="宋体"/>
          <w:sz w:val="24"/>
          <w:szCs w:val="24"/>
        </w:rPr>
      </w:pPr>
      <w:r>
        <w:rPr>
          <w:rFonts w:ascii="宋体" w:hAnsi="宋体" w:cs="宋体"/>
          <w:sz w:val="24"/>
          <w:szCs w:val="24"/>
        </w:rPr>
        <w:t>4.2</w:t>
      </w:r>
      <w:r>
        <w:rPr>
          <w:rFonts w:hint="eastAsia" w:ascii="宋体" w:hAnsi="宋体" w:cs="宋体"/>
          <w:sz w:val="24"/>
          <w:szCs w:val="24"/>
        </w:rPr>
        <w:t>供应商在供应商案中必须给出确定的项目经理人，并承诺在中标后，实际项目开展时由此确定人选担任本项目的项目经理，未经采购人许可不得随意更换，若因特殊原因需调整，需经采购人同意；（须提供承诺函并加盖公章）。</w:t>
      </w:r>
    </w:p>
    <w:p>
      <w:pPr>
        <w:spacing w:line="500" w:lineRule="exact"/>
        <w:ind w:firstLine="480" w:firstLineChars="200"/>
        <w:rPr>
          <w:rFonts w:ascii="宋体"/>
          <w:sz w:val="24"/>
          <w:szCs w:val="24"/>
        </w:rPr>
      </w:pPr>
      <w:r>
        <w:rPr>
          <w:rFonts w:ascii="宋体" w:hAnsi="宋体" w:cs="宋体"/>
          <w:sz w:val="24"/>
          <w:szCs w:val="24"/>
        </w:rPr>
        <w:t>4.3</w:t>
      </w:r>
      <w:r>
        <w:rPr>
          <w:rFonts w:hint="eastAsia" w:ascii="宋体" w:hAnsi="宋体" w:cs="宋体"/>
          <w:sz w:val="24"/>
          <w:szCs w:val="24"/>
        </w:rPr>
        <w:t>采购人有权要求供应商更换不称职的测试人员，供应商在接到采购人通知后</w:t>
      </w:r>
      <w:r>
        <w:rPr>
          <w:rFonts w:ascii="宋体" w:hAnsi="宋体" w:cs="宋体"/>
          <w:sz w:val="24"/>
          <w:szCs w:val="24"/>
        </w:rPr>
        <w:t xml:space="preserve"> 10 </w:t>
      </w:r>
      <w:r>
        <w:rPr>
          <w:rFonts w:hint="eastAsia" w:ascii="宋体" w:hAnsi="宋体" w:cs="宋体"/>
          <w:sz w:val="24"/>
          <w:szCs w:val="24"/>
        </w:rPr>
        <w:t>个工作日内完成服务技术人员更换。</w:t>
      </w:r>
      <w:r>
        <w:rPr>
          <w:rFonts w:ascii="宋体" w:hAnsi="宋体" w:cs="宋体"/>
          <w:sz w:val="24"/>
          <w:szCs w:val="24"/>
        </w:rPr>
        <w:t xml:space="preserve"> </w:t>
      </w:r>
    </w:p>
    <w:p>
      <w:pPr>
        <w:pStyle w:val="9"/>
        <w:jc w:val="left"/>
        <w:rPr>
          <w:rFonts w:cs="Calibri"/>
          <w:sz w:val="24"/>
          <w:szCs w:val="24"/>
        </w:rPr>
      </w:pPr>
      <w:r>
        <w:rPr>
          <w:rFonts w:hint="eastAsia" w:cs="宋体"/>
          <w:sz w:val="24"/>
          <w:szCs w:val="24"/>
        </w:rPr>
        <w:t>五、维保服务期和售后服务要求</w:t>
      </w:r>
    </w:p>
    <w:p>
      <w:pPr>
        <w:spacing w:line="500" w:lineRule="exact"/>
        <w:ind w:firstLine="480" w:firstLineChars="200"/>
        <w:rPr>
          <w:rFonts w:ascii="宋体"/>
          <w:sz w:val="24"/>
          <w:szCs w:val="24"/>
        </w:rPr>
      </w:pPr>
      <w:r>
        <w:rPr>
          <w:rFonts w:ascii="宋体" w:hAnsi="宋体" w:cs="宋体"/>
          <w:sz w:val="24"/>
          <w:szCs w:val="24"/>
          <w:highlight w:val="yellow"/>
        </w:rPr>
        <w:t>5.1</w:t>
      </w:r>
      <w:r>
        <w:rPr>
          <w:rFonts w:hint="eastAsia" w:ascii="宋体" w:hAnsi="宋体" w:cs="宋体"/>
          <w:sz w:val="24"/>
          <w:szCs w:val="24"/>
          <w:highlight w:val="yellow"/>
        </w:rPr>
        <w:t>中标供应商须按采购文件的要求自合同签订之日起</w:t>
      </w:r>
      <w:r>
        <w:rPr>
          <w:rFonts w:hint="eastAsia" w:ascii="宋体" w:hAnsi="宋体" w:cs="宋体"/>
          <w:sz w:val="24"/>
          <w:szCs w:val="24"/>
          <w:highlight w:val="yellow"/>
          <w:lang w:val="en-US" w:eastAsia="zh-CN"/>
        </w:rPr>
        <w:t>30</w:t>
      </w:r>
      <w:r>
        <w:rPr>
          <w:rFonts w:ascii="宋体" w:hAnsi="宋体" w:cs="宋体"/>
          <w:sz w:val="24"/>
          <w:szCs w:val="24"/>
          <w:highlight w:val="yellow"/>
        </w:rPr>
        <w:t xml:space="preserve"> </w:t>
      </w:r>
      <w:r>
        <w:rPr>
          <w:rFonts w:hint="eastAsia" w:ascii="宋体" w:hAnsi="宋体" w:cs="宋体"/>
          <w:sz w:val="24"/>
          <w:szCs w:val="24"/>
          <w:highlight w:val="yellow"/>
        </w:rPr>
        <w:t>个工作日内完成</w:t>
      </w:r>
      <w:r>
        <w:rPr>
          <w:rFonts w:hint="eastAsia" w:ascii="宋体" w:hAnsi="宋体" w:cs="宋体"/>
          <w:sz w:val="24"/>
          <w:szCs w:val="24"/>
        </w:rPr>
        <w:t>搬迁安装工作。按照招标文件所约定的验收条件，通过即可交付验收。</w:t>
      </w:r>
      <w:r>
        <w:rPr>
          <w:rFonts w:ascii="宋体" w:hAnsi="宋体" w:cs="宋体"/>
          <w:sz w:val="24"/>
          <w:szCs w:val="24"/>
        </w:rPr>
        <w:t xml:space="preserve"> </w:t>
      </w:r>
    </w:p>
    <w:p>
      <w:pPr>
        <w:spacing w:line="500" w:lineRule="exact"/>
        <w:ind w:firstLine="480" w:firstLineChars="200"/>
        <w:rPr>
          <w:rFonts w:ascii="宋体"/>
          <w:sz w:val="24"/>
          <w:szCs w:val="24"/>
        </w:rPr>
      </w:pPr>
      <w:r>
        <w:rPr>
          <w:rFonts w:ascii="宋体" w:hAnsi="宋体" w:cs="宋体"/>
          <w:sz w:val="24"/>
          <w:szCs w:val="24"/>
        </w:rPr>
        <w:t>5.2</w:t>
      </w:r>
      <w:r>
        <w:rPr>
          <w:rFonts w:hint="eastAsia" w:ascii="宋体" w:hAnsi="宋体" w:cs="宋体"/>
          <w:sz w:val="24"/>
          <w:szCs w:val="24"/>
        </w:rPr>
        <w:t>中标供应商在维保服务期内须提供上门维修服务，设备运行发生故障时中标供应商在接到使用单位故障通知后</w:t>
      </w:r>
      <w:r>
        <w:rPr>
          <w:rFonts w:ascii="宋体" w:hAnsi="宋体" w:cs="宋体"/>
          <w:sz w:val="24"/>
          <w:szCs w:val="24"/>
        </w:rPr>
        <w:t>4</w:t>
      </w:r>
      <w:r>
        <w:rPr>
          <w:rFonts w:hint="eastAsia" w:ascii="宋体" w:hAnsi="宋体" w:cs="宋体"/>
          <w:sz w:val="24"/>
          <w:szCs w:val="24"/>
        </w:rPr>
        <w:t>小时内响应，并在</w:t>
      </w:r>
      <w:r>
        <w:rPr>
          <w:rFonts w:ascii="宋体" w:hAnsi="宋体" w:cs="宋体"/>
          <w:sz w:val="24"/>
          <w:szCs w:val="24"/>
        </w:rPr>
        <w:t>12</w:t>
      </w:r>
      <w:r>
        <w:rPr>
          <w:rFonts w:hint="eastAsia" w:ascii="宋体" w:hAnsi="宋体" w:cs="宋体"/>
          <w:sz w:val="24"/>
          <w:szCs w:val="24"/>
        </w:rPr>
        <w:t>小时内到达现场，免费负责修理或更换有缺陷的零部件或整机（</w:t>
      </w:r>
      <w:r>
        <w:rPr>
          <w:rFonts w:hint="eastAsia" w:ascii="Arial" w:hAnsi="宋体" w:cs="宋体"/>
          <w:kern w:val="0"/>
          <w:sz w:val="24"/>
          <w:szCs w:val="24"/>
        </w:rPr>
        <w:t>包括返厂维修）</w:t>
      </w:r>
      <w:r>
        <w:rPr>
          <w:rFonts w:hint="eastAsia" w:ascii="宋体" w:hAnsi="宋体" w:cs="宋体"/>
          <w:sz w:val="24"/>
          <w:szCs w:val="24"/>
        </w:rPr>
        <w:t>，对造成的损失按合同规定赔偿及负责违约责任。在免费保修期内出现设备质量问题</w:t>
      </w:r>
      <w:r>
        <w:rPr>
          <w:rFonts w:ascii="宋体" w:hAnsi="宋体" w:cs="宋体"/>
          <w:sz w:val="24"/>
          <w:szCs w:val="24"/>
        </w:rPr>
        <w:t>(</w:t>
      </w:r>
      <w:r>
        <w:rPr>
          <w:rFonts w:hint="eastAsia" w:ascii="宋体" w:hAnsi="宋体" w:cs="宋体"/>
          <w:sz w:val="24"/>
          <w:szCs w:val="24"/>
        </w:rPr>
        <w:t>同一故障发生二次</w:t>
      </w:r>
      <w:r>
        <w:rPr>
          <w:rFonts w:ascii="宋体" w:hAnsi="宋体" w:cs="宋体"/>
          <w:sz w:val="24"/>
          <w:szCs w:val="24"/>
        </w:rPr>
        <w:t>)</w:t>
      </w:r>
      <w:r>
        <w:rPr>
          <w:rFonts w:hint="eastAsia" w:ascii="宋体" w:hAnsi="宋体" w:cs="宋体"/>
          <w:sz w:val="24"/>
          <w:szCs w:val="24"/>
        </w:rPr>
        <w:t>，使用单位则有权要求免费更换整机，更换的质量保证期从更换之日起相应顺延。</w:t>
      </w:r>
    </w:p>
    <w:p>
      <w:pPr>
        <w:spacing w:line="500" w:lineRule="exact"/>
        <w:ind w:firstLine="480" w:firstLineChars="200"/>
        <w:rPr>
          <w:rFonts w:ascii="宋体"/>
          <w:sz w:val="24"/>
          <w:szCs w:val="24"/>
        </w:rPr>
      </w:pPr>
      <w:r>
        <w:rPr>
          <w:rFonts w:ascii="宋体" w:hAnsi="宋体" w:cs="宋体"/>
          <w:sz w:val="24"/>
          <w:szCs w:val="24"/>
        </w:rPr>
        <w:t>5</w:t>
      </w:r>
      <w:r>
        <w:rPr>
          <w:rFonts w:ascii="宋体" w:cs="宋体"/>
          <w:sz w:val="24"/>
          <w:szCs w:val="24"/>
        </w:rPr>
        <w:t>.</w:t>
      </w:r>
      <w:r>
        <w:rPr>
          <w:rFonts w:ascii="宋体" w:hAnsi="宋体" w:cs="宋体"/>
          <w:sz w:val="24"/>
          <w:szCs w:val="24"/>
        </w:rPr>
        <w:t>3</w:t>
      </w:r>
      <w:r>
        <w:rPr>
          <w:rFonts w:hint="eastAsia" w:ascii="宋体" w:hAnsi="宋体" w:cs="宋体"/>
          <w:sz w:val="24"/>
          <w:szCs w:val="24"/>
        </w:rPr>
        <w:t>各投标人可视自身能力在投标文件中提供更优、更合理的维保服务期和售后服务承诺。</w:t>
      </w:r>
    </w:p>
    <w:p>
      <w:pPr>
        <w:pStyle w:val="2"/>
        <w:sectPr>
          <w:footerReference r:id="rId3" w:type="default"/>
          <w:pgSz w:w="11910" w:h="16840"/>
          <w:pgMar w:top="1400" w:right="1060" w:bottom="1380" w:left="1660" w:header="852" w:footer="1195" w:gutter="0"/>
          <w:pgNumType w:start="31"/>
          <w:cols w:space="720" w:num="1"/>
          <w:titlePg/>
        </w:sectPr>
      </w:pPr>
    </w:p>
    <w:bookmarkEnd w:id="2"/>
    <w:bookmarkEnd w:id="3"/>
    <w:bookmarkEnd w:id="4"/>
    <w:bookmarkEnd w:id="5"/>
    <w:bookmarkEnd w:id="6"/>
    <w:bookmarkEnd w:id="7"/>
    <w:bookmarkEnd w:id="8"/>
    <w:bookmarkEnd w:id="9"/>
    <w:bookmarkEnd w:id="10"/>
    <w:bookmarkEnd w:id="11"/>
    <w:bookmarkEnd w:id="1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uto" w:vAnchor="text" w:hAnchor="margin" w:xAlign="right" w:y="1"/>
      <w:rPr>
        <w:rStyle w:val="15"/>
      </w:rPr>
    </w:pPr>
  </w:p>
  <w:p>
    <w:pPr>
      <w:pStyle w:val="6"/>
      <w:spacing w:line="14" w:lineRule="auto"/>
      <w:ind w:right="360"/>
      <w:rPr>
        <w:rFonts w:cs="Calibri"/>
        <w:sz w:val="20"/>
        <w:szCs w:val="20"/>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3859530</wp:posOffset>
              </wp:positionH>
              <wp:positionV relativeFrom="page">
                <wp:posOffset>9793605</wp:posOffset>
              </wp:positionV>
              <wp:extent cx="167005"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line="203" w:lineRule="exact"/>
                            <w:ind w:left="40"/>
                            <w:rPr>
                              <w:sz w:val="18"/>
                              <w:szCs w:val="18"/>
                            </w:rPr>
                          </w:pPr>
                        </w:p>
                      </w:txbxContent>
                    </wps:txbx>
                    <wps:bodyPr lIns="0" tIns="0" rIns="0" bIns="0" upright="1"/>
                  </wps:wsp>
                </a:graphicData>
              </a:graphic>
            </wp:anchor>
          </w:drawing>
        </mc:Choice>
        <mc:Fallback>
          <w:pict>
            <v:shape id="_x0000_s1026" o:spid="_x0000_s1026" o:spt="202" type="#_x0000_t202" style="position:absolute;left:0pt;margin-left:303.9pt;margin-top:771.15pt;height:11pt;width:13.15pt;mso-position-horizontal-relative:page;mso-position-vertical-relative:page;z-index:-251657216;mso-width-relative:page;mso-height-relative:page;" filled="f" stroked="f" coordsize="21600,21600" o:gfxdata="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dEUiE2wAAAA0BAAAPAAAAAAAAAAEAIAAAACIAAABkcnMvZG93bnJldi54bWxQSwEC&#10;FAAUAAAACACHTuJA7A0MkbgBAABxAwAADgAAAAAAAAABACAAAAAqAQAAZHJzL2Uyb0RvYy54bWxQ&#10;SwUGAAAAAAYABgBZAQAAVAUAAAAA&#10;">
              <v:fill on="f" focussize="0,0"/>
              <v:stroke on="f"/>
              <v:imagedata o:title=""/>
              <o:lock v:ext="edit" aspectratio="f"/>
              <v:textbox inset="0mm,0mm,0mm,0mm">
                <w:txbxContent>
                  <w:p>
                    <w:pPr>
                      <w:spacing w:line="203" w:lineRule="exact"/>
                      <w:ind w:left="40"/>
                      <w:rPr>
                        <w:sz w:val="18"/>
                        <w:szCs w:val="1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iZjZiYjI3N2JkYThkZWRiMTdmYzQ2MWI2NTljMzgifQ=="/>
  </w:docVars>
  <w:rsids>
    <w:rsidRoot w:val="00D07FC6"/>
    <w:rsid w:val="000341A0"/>
    <w:rsid w:val="000341B9"/>
    <w:rsid w:val="00053997"/>
    <w:rsid w:val="00086684"/>
    <w:rsid w:val="000968C3"/>
    <w:rsid w:val="000A6591"/>
    <w:rsid w:val="000B0C02"/>
    <w:rsid w:val="000B523D"/>
    <w:rsid w:val="001055D0"/>
    <w:rsid w:val="001222AD"/>
    <w:rsid w:val="00141D51"/>
    <w:rsid w:val="00157458"/>
    <w:rsid w:val="00161991"/>
    <w:rsid w:val="00205003"/>
    <w:rsid w:val="00250CE3"/>
    <w:rsid w:val="00283FAE"/>
    <w:rsid w:val="00295735"/>
    <w:rsid w:val="002A45FF"/>
    <w:rsid w:val="002A4E24"/>
    <w:rsid w:val="002B026A"/>
    <w:rsid w:val="002F6B6A"/>
    <w:rsid w:val="00311CB4"/>
    <w:rsid w:val="00317660"/>
    <w:rsid w:val="0035040C"/>
    <w:rsid w:val="00371DDE"/>
    <w:rsid w:val="0039387F"/>
    <w:rsid w:val="003C0D52"/>
    <w:rsid w:val="003C422A"/>
    <w:rsid w:val="003C4CEA"/>
    <w:rsid w:val="003E2D7A"/>
    <w:rsid w:val="003F330A"/>
    <w:rsid w:val="00433C81"/>
    <w:rsid w:val="004E26EA"/>
    <w:rsid w:val="004E36A0"/>
    <w:rsid w:val="004F2732"/>
    <w:rsid w:val="004F28DC"/>
    <w:rsid w:val="004F353B"/>
    <w:rsid w:val="005056BE"/>
    <w:rsid w:val="00536605"/>
    <w:rsid w:val="0057207A"/>
    <w:rsid w:val="00575B9B"/>
    <w:rsid w:val="00583E75"/>
    <w:rsid w:val="0059629B"/>
    <w:rsid w:val="005A2E44"/>
    <w:rsid w:val="005A347D"/>
    <w:rsid w:val="0061236C"/>
    <w:rsid w:val="00624C15"/>
    <w:rsid w:val="0065033C"/>
    <w:rsid w:val="00684981"/>
    <w:rsid w:val="006A1C48"/>
    <w:rsid w:val="006E14CE"/>
    <w:rsid w:val="00716D43"/>
    <w:rsid w:val="00723DFD"/>
    <w:rsid w:val="00745B97"/>
    <w:rsid w:val="00755365"/>
    <w:rsid w:val="007763AE"/>
    <w:rsid w:val="007A010C"/>
    <w:rsid w:val="007B28FF"/>
    <w:rsid w:val="007C05C5"/>
    <w:rsid w:val="007F40FB"/>
    <w:rsid w:val="00812BAA"/>
    <w:rsid w:val="008217FA"/>
    <w:rsid w:val="00840D0A"/>
    <w:rsid w:val="00865A7B"/>
    <w:rsid w:val="00873E36"/>
    <w:rsid w:val="008B539A"/>
    <w:rsid w:val="008D23F9"/>
    <w:rsid w:val="00923F78"/>
    <w:rsid w:val="009444C4"/>
    <w:rsid w:val="009527EB"/>
    <w:rsid w:val="00981744"/>
    <w:rsid w:val="009F72FD"/>
    <w:rsid w:val="00A13F11"/>
    <w:rsid w:val="00A14194"/>
    <w:rsid w:val="00A27A97"/>
    <w:rsid w:val="00A4729C"/>
    <w:rsid w:val="00A56D19"/>
    <w:rsid w:val="00A84019"/>
    <w:rsid w:val="00AB5212"/>
    <w:rsid w:val="00AB7C4A"/>
    <w:rsid w:val="00AC36F8"/>
    <w:rsid w:val="00AC54D6"/>
    <w:rsid w:val="00AC65C9"/>
    <w:rsid w:val="00AD0981"/>
    <w:rsid w:val="00AD674C"/>
    <w:rsid w:val="00AE129E"/>
    <w:rsid w:val="00AE1893"/>
    <w:rsid w:val="00AE4CAA"/>
    <w:rsid w:val="00AE5C33"/>
    <w:rsid w:val="00AF3EE8"/>
    <w:rsid w:val="00B129DC"/>
    <w:rsid w:val="00B33F08"/>
    <w:rsid w:val="00B440E4"/>
    <w:rsid w:val="00B819DB"/>
    <w:rsid w:val="00B93F9D"/>
    <w:rsid w:val="00B9453E"/>
    <w:rsid w:val="00B94DAB"/>
    <w:rsid w:val="00BD1DF5"/>
    <w:rsid w:val="00BD3704"/>
    <w:rsid w:val="00C23850"/>
    <w:rsid w:val="00C30AA2"/>
    <w:rsid w:val="00C6268F"/>
    <w:rsid w:val="00C7682E"/>
    <w:rsid w:val="00C82A17"/>
    <w:rsid w:val="00CA683D"/>
    <w:rsid w:val="00CB1888"/>
    <w:rsid w:val="00CB67E8"/>
    <w:rsid w:val="00CD031B"/>
    <w:rsid w:val="00CF035F"/>
    <w:rsid w:val="00CF107B"/>
    <w:rsid w:val="00D07FC6"/>
    <w:rsid w:val="00D30E56"/>
    <w:rsid w:val="00D512BD"/>
    <w:rsid w:val="00D769FE"/>
    <w:rsid w:val="00D95265"/>
    <w:rsid w:val="00DA2D66"/>
    <w:rsid w:val="00DE05C3"/>
    <w:rsid w:val="00DF5AC6"/>
    <w:rsid w:val="00E465B9"/>
    <w:rsid w:val="00EA1BB9"/>
    <w:rsid w:val="00EA42C1"/>
    <w:rsid w:val="00ED55ED"/>
    <w:rsid w:val="00EE26AD"/>
    <w:rsid w:val="00EF395B"/>
    <w:rsid w:val="00F11702"/>
    <w:rsid w:val="00F14B29"/>
    <w:rsid w:val="00F33487"/>
    <w:rsid w:val="00F33503"/>
    <w:rsid w:val="00F429D0"/>
    <w:rsid w:val="00F57E87"/>
    <w:rsid w:val="00F83AF8"/>
    <w:rsid w:val="00F9607A"/>
    <w:rsid w:val="00FB2DF0"/>
    <w:rsid w:val="00FD085E"/>
    <w:rsid w:val="00FE0B2F"/>
    <w:rsid w:val="00FF0FAF"/>
    <w:rsid w:val="00FF4121"/>
    <w:rsid w:val="6DFD690F"/>
    <w:rsid w:val="7B1E507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nhideWhenUsed="0" w:uiPriority="99" w:semiHidden="0" w:name="heading 7"/>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link w:val="16"/>
    <w:qFormat/>
    <w:uiPriority w:val="99"/>
    <w:pPr>
      <w:keepNext/>
      <w:keepLines/>
      <w:spacing w:before="260" w:after="260" w:line="416" w:lineRule="auto"/>
      <w:outlineLvl w:val="1"/>
    </w:pPr>
    <w:rPr>
      <w:rFonts w:ascii="Cambria" w:hAnsi="Cambria" w:cs="Cambria"/>
      <w:b/>
      <w:bCs/>
      <w:sz w:val="32"/>
      <w:szCs w:val="32"/>
    </w:rPr>
  </w:style>
  <w:style w:type="paragraph" w:styleId="4">
    <w:name w:val="heading 3"/>
    <w:basedOn w:val="1"/>
    <w:next w:val="1"/>
    <w:link w:val="17"/>
    <w:qFormat/>
    <w:uiPriority w:val="99"/>
    <w:pPr>
      <w:keepNext/>
      <w:keepLines/>
      <w:spacing w:before="260" w:after="260" w:line="416" w:lineRule="auto"/>
      <w:outlineLvl w:val="2"/>
    </w:pPr>
    <w:rPr>
      <w:b/>
      <w:bCs/>
      <w:sz w:val="32"/>
      <w:szCs w:val="32"/>
    </w:rPr>
  </w:style>
  <w:style w:type="paragraph" w:styleId="5">
    <w:name w:val="heading 7"/>
    <w:basedOn w:val="1"/>
    <w:link w:val="18"/>
    <w:qFormat/>
    <w:uiPriority w:val="99"/>
    <w:pPr>
      <w:autoSpaceDE w:val="0"/>
      <w:autoSpaceDN w:val="0"/>
      <w:spacing w:before="36"/>
      <w:ind w:left="137"/>
      <w:jc w:val="left"/>
      <w:outlineLvl w:val="6"/>
    </w:pPr>
    <w:rPr>
      <w:rFonts w:ascii="宋体" w:hAnsi="宋体" w:cs="宋体"/>
      <w:b/>
      <w:bCs/>
      <w:kern w:val="0"/>
      <w:sz w:val="24"/>
      <w:szCs w:val="24"/>
      <w:lang w:eastAsia="en-US"/>
    </w:rPr>
  </w:style>
  <w:style w:type="character" w:default="1" w:styleId="13">
    <w:name w:val="Default Paragraph Font"/>
    <w:semiHidden/>
    <w:qFormat/>
    <w:uiPriority w:val="99"/>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0"/>
    <w:qFormat/>
    <w:uiPriority w:val="99"/>
    <w:pPr>
      <w:tabs>
        <w:tab w:val="center" w:pos="4153"/>
        <w:tab w:val="right" w:pos="8306"/>
      </w:tabs>
      <w:snapToGrid w:val="0"/>
      <w:jc w:val="left"/>
    </w:pPr>
    <w:rPr>
      <w:sz w:val="18"/>
      <w:szCs w:val="18"/>
    </w:rPr>
  </w:style>
  <w:style w:type="paragraph" w:styleId="6">
    <w:name w:val="Body Text"/>
    <w:basedOn w:val="1"/>
    <w:link w:val="22"/>
    <w:qFormat/>
    <w:uiPriority w:val="99"/>
    <w:pPr>
      <w:autoSpaceDE w:val="0"/>
      <w:autoSpaceDN w:val="0"/>
      <w:jc w:val="left"/>
    </w:pPr>
    <w:rPr>
      <w:rFonts w:ascii="宋体" w:hAnsi="宋体" w:cs="宋体"/>
      <w:kern w:val="0"/>
      <w:sz w:val="24"/>
      <w:szCs w:val="24"/>
      <w:lang w:eastAsia="en-US"/>
    </w:rPr>
  </w:style>
  <w:style w:type="paragraph" w:styleId="7">
    <w:name w:val="Date"/>
    <w:basedOn w:val="1"/>
    <w:next w:val="1"/>
    <w:link w:val="25"/>
    <w:semiHidden/>
    <w:qFormat/>
    <w:uiPriority w:val="99"/>
    <w:pPr>
      <w:ind w:left="100" w:leftChars="2500"/>
    </w:pPr>
  </w:style>
  <w:style w:type="paragraph" w:styleId="8">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21"/>
    <w:qFormat/>
    <w:uiPriority w:val="99"/>
    <w:pPr>
      <w:spacing w:before="240" w:after="60" w:line="312" w:lineRule="auto"/>
      <w:jc w:val="center"/>
      <w:outlineLvl w:val="1"/>
    </w:pPr>
    <w:rPr>
      <w:rFonts w:ascii="Cambria" w:hAnsi="Cambria" w:cs="Cambria"/>
      <w:b/>
      <w:bCs/>
      <w:kern w:val="28"/>
      <w:sz w:val="32"/>
      <w:szCs w:val="32"/>
    </w:rPr>
  </w:style>
  <w:style w:type="paragraph" w:styleId="10">
    <w:name w:val="Normal (Web)"/>
    <w:basedOn w:val="1"/>
    <w:qFormat/>
    <w:uiPriority w:val="99"/>
    <w:pPr>
      <w:spacing w:beforeAutospacing="1" w:afterAutospacing="1"/>
      <w:jc w:val="left"/>
    </w:pPr>
    <w:rPr>
      <w:kern w:val="0"/>
      <w:sz w:val="24"/>
      <w:szCs w:val="24"/>
    </w:rPr>
  </w:style>
  <w:style w:type="table" w:styleId="12">
    <w:name w:val="Table Grid"/>
    <w:basedOn w:val="11"/>
    <w:qFormat/>
    <w:uiPriority w:val="99"/>
    <w:rPr>
      <w:rFonts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99"/>
    <w:rPr>
      <w:b/>
      <w:bCs/>
    </w:rPr>
  </w:style>
  <w:style w:type="character" w:styleId="15">
    <w:name w:val="page number"/>
    <w:basedOn w:val="13"/>
    <w:qFormat/>
    <w:uiPriority w:val="99"/>
  </w:style>
  <w:style w:type="character" w:customStyle="1" w:styleId="16">
    <w:name w:val="Heading 2 Char"/>
    <w:basedOn w:val="13"/>
    <w:link w:val="3"/>
    <w:qFormat/>
    <w:locked/>
    <w:uiPriority w:val="99"/>
    <w:rPr>
      <w:rFonts w:ascii="Cambria" w:hAnsi="Cambria" w:eastAsia="宋体" w:cs="Cambria"/>
      <w:b/>
      <w:bCs/>
      <w:sz w:val="32"/>
      <w:szCs w:val="32"/>
    </w:rPr>
  </w:style>
  <w:style w:type="character" w:customStyle="1" w:styleId="17">
    <w:name w:val="Heading 3 Char"/>
    <w:basedOn w:val="13"/>
    <w:link w:val="4"/>
    <w:semiHidden/>
    <w:qFormat/>
    <w:locked/>
    <w:uiPriority w:val="99"/>
    <w:rPr>
      <w:b/>
      <w:bCs/>
      <w:sz w:val="32"/>
      <w:szCs w:val="32"/>
    </w:rPr>
  </w:style>
  <w:style w:type="character" w:customStyle="1" w:styleId="18">
    <w:name w:val="Heading 7 Char"/>
    <w:basedOn w:val="13"/>
    <w:link w:val="5"/>
    <w:qFormat/>
    <w:locked/>
    <w:uiPriority w:val="99"/>
    <w:rPr>
      <w:rFonts w:ascii="宋体" w:hAnsi="宋体" w:eastAsia="宋体" w:cs="宋体"/>
      <w:b/>
      <w:bCs/>
      <w:kern w:val="0"/>
      <w:sz w:val="24"/>
      <w:szCs w:val="24"/>
      <w:lang w:eastAsia="en-US"/>
    </w:rPr>
  </w:style>
  <w:style w:type="character" w:customStyle="1" w:styleId="19">
    <w:name w:val="Header Char"/>
    <w:basedOn w:val="13"/>
    <w:link w:val="8"/>
    <w:qFormat/>
    <w:locked/>
    <w:uiPriority w:val="99"/>
    <w:rPr>
      <w:sz w:val="18"/>
      <w:szCs w:val="18"/>
    </w:rPr>
  </w:style>
  <w:style w:type="character" w:customStyle="1" w:styleId="20">
    <w:name w:val="Footer Char"/>
    <w:basedOn w:val="13"/>
    <w:link w:val="2"/>
    <w:locked/>
    <w:uiPriority w:val="99"/>
    <w:rPr>
      <w:sz w:val="18"/>
      <w:szCs w:val="18"/>
    </w:rPr>
  </w:style>
  <w:style w:type="character" w:customStyle="1" w:styleId="21">
    <w:name w:val="Subtitle Char"/>
    <w:basedOn w:val="13"/>
    <w:link w:val="9"/>
    <w:qFormat/>
    <w:locked/>
    <w:uiPriority w:val="99"/>
    <w:rPr>
      <w:rFonts w:ascii="Cambria" w:hAnsi="Cambria" w:cs="Cambria"/>
      <w:b/>
      <w:bCs/>
      <w:kern w:val="28"/>
      <w:sz w:val="32"/>
      <w:szCs w:val="32"/>
    </w:rPr>
  </w:style>
  <w:style w:type="character" w:customStyle="1" w:styleId="22">
    <w:name w:val="Body Text Char"/>
    <w:basedOn w:val="13"/>
    <w:link w:val="6"/>
    <w:qFormat/>
    <w:locked/>
    <w:uiPriority w:val="99"/>
    <w:rPr>
      <w:rFonts w:ascii="宋体" w:hAnsi="宋体" w:eastAsia="宋体" w:cs="宋体"/>
      <w:kern w:val="0"/>
      <w:sz w:val="24"/>
      <w:szCs w:val="24"/>
      <w:lang w:eastAsia="en-US"/>
    </w:rPr>
  </w:style>
  <w:style w:type="paragraph" w:customStyle="1" w:styleId="23">
    <w:name w:val="Table Paragraph"/>
    <w:basedOn w:val="1"/>
    <w:uiPriority w:val="99"/>
    <w:pPr>
      <w:autoSpaceDE w:val="0"/>
      <w:autoSpaceDN w:val="0"/>
      <w:jc w:val="left"/>
    </w:pPr>
    <w:rPr>
      <w:rFonts w:ascii="宋体" w:hAnsi="宋体" w:cs="宋体"/>
      <w:kern w:val="0"/>
      <w:sz w:val="22"/>
      <w:szCs w:val="22"/>
      <w:lang w:eastAsia="en-US"/>
    </w:rPr>
  </w:style>
  <w:style w:type="paragraph" w:styleId="24">
    <w:name w:val="List Paragraph"/>
    <w:basedOn w:val="1"/>
    <w:qFormat/>
    <w:uiPriority w:val="99"/>
    <w:pPr>
      <w:autoSpaceDE w:val="0"/>
      <w:autoSpaceDN w:val="0"/>
      <w:spacing w:before="36"/>
      <w:ind w:left="137"/>
      <w:jc w:val="left"/>
    </w:pPr>
    <w:rPr>
      <w:rFonts w:ascii="宋体" w:hAnsi="宋体" w:cs="宋体"/>
      <w:kern w:val="0"/>
      <w:sz w:val="22"/>
      <w:szCs w:val="22"/>
      <w:lang w:eastAsia="en-US"/>
    </w:rPr>
  </w:style>
  <w:style w:type="character" w:customStyle="1" w:styleId="25">
    <w:name w:val="Date Char"/>
    <w:basedOn w:val="13"/>
    <w:link w:val="7"/>
    <w:semiHidden/>
    <w:locked/>
    <w:uiPriority w:val="99"/>
    <w:rPr>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福建漳州</Company>
  <Pages>5</Pages>
  <Words>308</Words>
  <Characters>1761</Characters>
  <Lines>0</Lines>
  <Paragraphs>0</Paragraphs>
  <TotalTime>5</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2022-04-29T01:13:00Z</dcterms:created>
  <dc:creator>USER</dc:creator>
  <cp:lastModifiedBy>我</cp:lastModifiedBy>
  <dcterms:modified xsi:type="dcterms:W3CDTF">2023-12-01T08:45:52Z</dcterms:modified>
  <dc:title>采购内容及要求</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4E8EDA836DBA4C57B77656E359AAA75F_12</vt:lpwstr>
  </property>
</Properties>
</file>