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0"/>
        <w:jc w:val="center"/>
      </w:pPr>
      <w:r>
        <w:rPr>
          <w:rFonts w:hint="eastAsia"/>
        </w:rPr>
        <w:t xml:space="preserve"> </w:t>
      </w:r>
    </w:p>
    <w:p>
      <w:pPr>
        <w:spacing w:line="610" w:lineRule="atLeas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东侨经济技术开发区管理委员会</w:t>
      </w:r>
    </w:p>
    <w:p>
      <w:pPr>
        <w:spacing w:line="610" w:lineRule="atLeast"/>
        <w:jc w:val="center"/>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rPr>
        <w:t>关于扶持工业发展的若干规定</w:t>
      </w:r>
    </w:p>
    <w:p>
      <w:pPr>
        <w:spacing w:line="610" w:lineRule="atLeast"/>
        <w:jc w:val="center"/>
        <w:rPr>
          <w:rFonts w:hint="eastAsia" w:ascii="方正小标宋简体" w:hAnsi="黑体" w:eastAsia="方正小标宋简体"/>
          <w:sz w:val="36"/>
          <w:szCs w:val="36"/>
          <w:lang w:eastAsia="zh-CN"/>
        </w:rPr>
      </w:pPr>
    </w:p>
    <w:p>
      <w:pPr>
        <w:spacing w:line="610" w:lineRule="atLeast"/>
        <w:rPr>
          <w:rFonts w:ascii="仿宋" w:hAnsi="仿宋" w:eastAsia="仿宋"/>
          <w:sz w:val="32"/>
          <w:szCs w:val="32"/>
        </w:rPr>
      </w:pPr>
      <w:r>
        <w:rPr>
          <w:rFonts w:hint="eastAsia" w:ascii="仿宋" w:hAnsi="仿宋" w:eastAsia="仿宋"/>
          <w:sz w:val="32"/>
          <w:szCs w:val="32"/>
        </w:rPr>
        <w:t>各有关单位：</w:t>
      </w:r>
      <w:bookmarkStart w:id="0" w:name="_GoBack"/>
      <w:bookmarkEnd w:id="0"/>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为进一步优化经济发展环境，促进东侨工业经济跨越发展，根据我区实际情况制定本规定。</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一、鼓励做大做强</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（一）年产值5亿元以上（含5亿元），且产值增长20%以上的，奖励3万元；年产值10亿元以上（含10亿元），且产值增长17%以上的，奖励5万元；年产值30亿元以上（含30亿元），且产值增长15%以上的，奖励10万元。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二）当年纳税总额在100万元-200万元（含100万元）的奖励10万元，200万元-300万元（含200万元）的奖励20万元，300万元-500万元（含300万元）的奖励30万元，500万元以上的奖励40万元。当年入库税收100万元以上，以上一年为基数，按构成东侨留成收入增量部分的50%给予奖励。</w:t>
      </w:r>
    </w:p>
    <w:p>
      <w:pPr>
        <w:spacing w:line="600" w:lineRule="exact"/>
        <w:ind w:left="0" w:firstLine="803" w:firstLineChars="250"/>
        <w:rPr>
          <w:rFonts w:ascii="仿宋" w:hAnsi="仿宋" w:eastAsia="仿宋"/>
          <w:b/>
          <w:sz w:val="32"/>
          <w:szCs w:val="32"/>
        </w:rPr>
      </w:pPr>
      <w:r>
        <w:rPr>
          <w:rFonts w:hint="eastAsia" w:ascii="仿宋" w:hAnsi="仿宋" w:eastAsia="仿宋"/>
          <w:b/>
          <w:sz w:val="32"/>
          <w:szCs w:val="32"/>
        </w:rPr>
        <w:t>二、打造质量强区</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（一）对首次获得“国家质量奖”“省质量奖”“宁德市质量奖”的企业，分别一次性给予200万元、100万元、20万元的奖励。</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（二）对首次获得国家、省质量管理先进企业表彰的企业，分别给予一次性奖励10万元、5万元。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三）对首次获得全国标准化专业技术委员会、分委会承担单位资格的企业，分别给予一次性奖励20万元、10万元；对获得福建省标准化专业技术委员会、分委会秘书处承担单位资格的企业，分别给予一次性奖励10万元、5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（四）对担任国际标准、国家标准、行业标准、省地方标准起草单位的企业，每完成一项，分别给予一次性奖励20万元、10万元、5万元、3万元。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（五）对当年度获得ISO14000认证的企业给予一次性奖励3万元。</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 xml:space="preserve">三、鼓励自主创新 </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一）首次获评“国家工程（技术）研究中心”“国家企业技术中心”“国家重点实验室”的企业，一次性奖励200万元；首次获评“省级（企业）工程（技术）研究中心”“省级企业技术中心”“省级重点实验室”的企业，一次性奖励50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二）首次获得“国家级高新技术企业”“国家级创新型企业”“国家级知识产权优势企业”称号的企业，一次性奖励20万元；首次获得“省级高新技术企业”“省级创新型企业”“省知识产权优势企业”称号的企业，一次性奖励10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（三）支持企业加强知识产权工作，对新获得国家发明专利的企业，每项发明奖励5万元。</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四、实施品牌战略</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（一）获得“中国驰名商标”称号的企业，一次性奖励100万元。</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（二）获得“国家地理标志”称号的企业，一次性奖励20万元。</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五、奖励总部经济</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具有独立法人资格，年度纳税总额达到1500万元及以上，</w:t>
      </w:r>
      <w:r>
        <w:rPr>
          <w:rFonts w:ascii="仿宋" w:hAnsi="仿宋" w:eastAsia="仿宋"/>
          <w:sz w:val="32"/>
          <w:szCs w:val="32"/>
        </w:rPr>
        <w:t>下属子公司或分支机构在3个以上</w:t>
      </w:r>
      <w:r>
        <w:rPr>
          <w:rFonts w:hint="eastAsia" w:ascii="仿宋" w:hAnsi="仿宋" w:eastAsia="仿宋"/>
          <w:sz w:val="32"/>
          <w:szCs w:val="32"/>
        </w:rPr>
        <w:t>,被认定为开发区总部企业，从认定年起按照当年实现本级财政收入的一定比例给予奖励（第一年100%、第二年80%、第三年60%、第四年起每年按40%）。享受总部经济企业不重复享受第一条第二款税收奖励。</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总部企业的高管人员在我区缴纳个人所得税的，按东侨留成部分的一定比例（第一年100％、第二年80%、后三年50%）给予奖励。</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六、鼓励出口创汇</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企业自营出口额达2000万元以上，以上年为基数，其增量部分按每100元给予0. 35元人民币奖励，单项奖励最高不超过20万元。</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七、规范工业企业统计</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给予新入库的规模以上工业企业，一次性奖励统计工作经费5万元。</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八、提供“一窗口、一站式、一条龙无偿服务”</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凡入区项目，签订正式项目投资协议后，企业的注册审批与建审手续等，由开发区招商主管部门主动对接、协助办理，有关部门予以全力支持、积极配合。</w:t>
      </w:r>
    </w:p>
    <w:p>
      <w:pPr>
        <w:spacing w:line="600" w:lineRule="exact"/>
        <w:ind w:left="0" w:firstLine="643" w:firstLineChars="200"/>
        <w:rPr>
          <w:rFonts w:ascii="仿宋" w:hAnsi="仿宋" w:eastAsia="仿宋"/>
          <w:b/>
          <w:sz w:val="32"/>
          <w:szCs w:val="32"/>
        </w:rPr>
      </w:pPr>
      <w:r>
        <w:rPr>
          <w:rFonts w:hint="eastAsia" w:ascii="仿宋" w:hAnsi="仿宋" w:eastAsia="仿宋"/>
          <w:b/>
          <w:sz w:val="32"/>
          <w:szCs w:val="32"/>
        </w:rPr>
        <w:t>九、附则</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（一）本规定执行之日起，开发区此前出台的扶持工业企业的相关政策（含电机电器政策）停止执行。</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（二）本规定中的“上年”“当年”“年度”“次年”均指会计年度。</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（三）本规定税收指的是增值税、企业所得税。</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（四）享受本规定的工业企业必须是纳入东侨统计联网直报的规模以上工业企业。本规定涉及的扶持政策，与省、市出台的其他优惠政策或招商引资合作协议条款存在类同的，奖励遵循从优不重复享受原则。</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（五）本规定试行期间，将根据实际情况进行适当调整，对特殊项目一事一议。</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（六）奖励或补助金额不超过该企业在东侨纳税的地方级留成收入，其中二、三、四、六、八不受此款限制。</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（七）本规定由东侨经济技术开发区经济发展局负责解释。</w:t>
      </w:r>
    </w:p>
    <w:p>
      <w:pPr>
        <w:spacing w:line="600" w:lineRule="exact"/>
        <w:ind w:left="0" w:firstLine="640" w:firstLineChars="200"/>
        <w:rPr>
          <w:rFonts w:ascii="仿宋" w:hAnsi="仿宋" w:eastAsia="仿宋"/>
          <w:sz w:val="32"/>
          <w:szCs w:val="32"/>
        </w:rPr>
      </w:pPr>
      <w:r>
        <w:rPr>
          <w:rFonts w:hint="eastAsia" w:ascii="仿宋" w:hAnsi="仿宋" w:eastAsia="仿宋"/>
          <w:sz w:val="32"/>
          <w:szCs w:val="32"/>
        </w:rPr>
        <w:t>（八）本规定自2019年1月1日起执行，执行3年。</w:t>
      </w:r>
    </w:p>
    <w:p>
      <w:pPr>
        <w:ind w:firstLine="2880" w:firstLineChars="900"/>
        <w:rPr>
          <w:rFonts w:ascii="仿宋" w:hAnsi="仿宋" w:eastAsia="仿宋"/>
          <w:sz w:val="32"/>
          <w:szCs w:val="32"/>
        </w:rPr>
      </w:pPr>
      <w:r>
        <w:rPr>
          <w:rFonts w:hint="eastAsia" w:ascii="仿宋" w:hAnsi="仿宋" w:eastAsia="仿宋"/>
          <w:sz w:val="32"/>
          <w:szCs w:val="32"/>
        </w:rPr>
        <w:t xml:space="preserve">      </w:t>
      </w:r>
    </w:p>
    <w:p>
      <w:pPr>
        <w:ind w:firstLine="4320" w:firstLineChars="1350"/>
        <w:rPr>
          <w:rFonts w:ascii="仿宋" w:hAnsi="仿宋" w:eastAsia="仿宋"/>
          <w:sz w:val="32"/>
          <w:szCs w:val="32"/>
        </w:rPr>
      </w:pPr>
      <w:r>
        <w:rPr>
          <w:rFonts w:hint="eastAsia" w:ascii="仿宋" w:hAnsi="仿宋" w:eastAsia="仿宋"/>
          <w:sz w:val="32"/>
          <w:szCs w:val="32"/>
        </w:rPr>
        <w:t>东侨经济技术开发区管理委员会</w:t>
      </w:r>
    </w:p>
    <w:p>
      <w:pPr>
        <w:jc w:val="center"/>
        <w:rPr>
          <w:rFonts w:ascii="仿宋" w:hAnsi="仿宋" w:eastAsia="仿宋"/>
          <w:sz w:val="32"/>
          <w:szCs w:val="32"/>
        </w:rPr>
      </w:pPr>
      <w:r>
        <w:rPr>
          <w:rFonts w:hint="eastAsia" w:ascii="仿宋" w:hAnsi="仿宋" w:eastAsia="仿宋"/>
          <w:sz w:val="32"/>
          <w:szCs w:val="32"/>
        </w:rPr>
        <w:t xml:space="preserve">                         2019年1月 15 日</w:t>
      </w:r>
    </w:p>
    <w:sectPr>
      <w:footerReference r:id="rId3" w:type="default"/>
      <w:footerReference r:id="rId4" w:type="even"/>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- 4 -</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0219"/>
    <w:rsid w:val="00000BDA"/>
    <w:rsid w:val="00004244"/>
    <w:rsid w:val="00010E38"/>
    <w:rsid w:val="00013346"/>
    <w:rsid w:val="000158C0"/>
    <w:rsid w:val="00024C38"/>
    <w:rsid w:val="00031AF9"/>
    <w:rsid w:val="00037AAB"/>
    <w:rsid w:val="00037C7F"/>
    <w:rsid w:val="00053015"/>
    <w:rsid w:val="000557B1"/>
    <w:rsid w:val="000572F1"/>
    <w:rsid w:val="00060080"/>
    <w:rsid w:val="000618FF"/>
    <w:rsid w:val="000621EB"/>
    <w:rsid w:val="0008470C"/>
    <w:rsid w:val="00084C46"/>
    <w:rsid w:val="000A6008"/>
    <w:rsid w:val="000B3E18"/>
    <w:rsid w:val="000E2248"/>
    <w:rsid w:val="000E606A"/>
    <w:rsid w:val="000F0219"/>
    <w:rsid w:val="000F3A1B"/>
    <w:rsid w:val="000F3ED0"/>
    <w:rsid w:val="001002EC"/>
    <w:rsid w:val="0011371A"/>
    <w:rsid w:val="0013084A"/>
    <w:rsid w:val="00137775"/>
    <w:rsid w:val="001568AC"/>
    <w:rsid w:val="00156C30"/>
    <w:rsid w:val="001A3B31"/>
    <w:rsid w:val="001B0864"/>
    <w:rsid w:val="001C0449"/>
    <w:rsid w:val="001E28CD"/>
    <w:rsid w:val="001E6A8E"/>
    <w:rsid w:val="001E791F"/>
    <w:rsid w:val="001F1828"/>
    <w:rsid w:val="00206740"/>
    <w:rsid w:val="00207DA4"/>
    <w:rsid w:val="00210543"/>
    <w:rsid w:val="00213037"/>
    <w:rsid w:val="0022162E"/>
    <w:rsid w:val="00221AC0"/>
    <w:rsid w:val="00226F8B"/>
    <w:rsid w:val="00247F5D"/>
    <w:rsid w:val="002523AB"/>
    <w:rsid w:val="00256A5A"/>
    <w:rsid w:val="00277859"/>
    <w:rsid w:val="00282041"/>
    <w:rsid w:val="002A248C"/>
    <w:rsid w:val="002A2BD8"/>
    <w:rsid w:val="002A4DEE"/>
    <w:rsid w:val="002C4352"/>
    <w:rsid w:val="002F2401"/>
    <w:rsid w:val="002F43CC"/>
    <w:rsid w:val="002F5F68"/>
    <w:rsid w:val="00310D54"/>
    <w:rsid w:val="00314DCA"/>
    <w:rsid w:val="003176C1"/>
    <w:rsid w:val="0032742C"/>
    <w:rsid w:val="003302E7"/>
    <w:rsid w:val="003312FB"/>
    <w:rsid w:val="00342421"/>
    <w:rsid w:val="00344C17"/>
    <w:rsid w:val="003471C5"/>
    <w:rsid w:val="003502B2"/>
    <w:rsid w:val="00353A90"/>
    <w:rsid w:val="00364BB3"/>
    <w:rsid w:val="00366189"/>
    <w:rsid w:val="00366A84"/>
    <w:rsid w:val="00370217"/>
    <w:rsid w:val="00377666"/>
    <w:rsid w:val="003840BB"/>
    <w:rsid w:val="003A403E"/>
    <w:rsid w:val="003B08AE"/>
    <w:rsid w:val="003D01AF"/>
    <w:rsid w:val="003D305E"/>
    <w:rsid w:val="003D6042"/>
    <w:rsid w:val="003E451E"/>
    <w:rsid w:val="003F0441"/>
    <w:rsid w:val="003F1C6A"/>
    <w:rsid w:val="003F30F6"/>
    <w:rsid w:val="00431F3A"/>
    <w:rsid w:val="00460DDC"/>
    <w:rsid w:val="00463404"/>
    <w:rsid w:val="0047366A"/>
    <w:rsid w:val="00476ACB"/>
    <w:rsid w:val="00477951"/>
    <w:rsid w:val="004819F2"/>
    <w:rsid w:val="004833B2"/>
    <w:rsid w:val="00484918"/>
    <w:rsid w:val="004A599E"/>
    <w:rsid w:val="004A6078"/>
    <w:rsid w:val="004C36A2"/>
    <w:rsid w:val="004E19C0"/>
    <w:rsid w:val="004E3155"/>
    <w:rsid w:val="004E6B15"/>
    <w:rsid w:val="004F6365"/>
    <w:rsid w:val="00502CF7"/>
    <w:rsid w:val="00505C63"/>
    <w:rsid w:val="005203F5"/>
    <w:rsid w:val="00525748"/>
    <w:rsid w:val="00526BAA"/>
    <w:rsid w:val="00531924"/>
    <w:rsid w:val="00533D98"/>
    <w:rsid w:val="00536854"/>
    <w:rsid w:val="0055486C"/>
    <w:rsid w:val="0055723F"/>
    <w:rsid w:val="00571A0A"/>
    <w:rsid w:val="00582AB0"/>
    <w:rsid w:val="00584ADF"/>
    <w:rsid w:val="00592549"/>
    <w:rsid w:val="005B07A9"/>
    <w:rsid w:val="005B1BC8"/>
    <w:rsid w:val="005C2F99"/>
    <w:rsid w:val="005D28C9"/>
    <w:rsid w:val="005D4640"/>
    <w:rsid w:val="005F1581"/>
    <w:rsid w:val="005F53C8"/>
    <w:rsid w:val="00604388"/>
    <w:rsid w:val="00605290"/>
    <w:rsid w:val="0060756D"/>
    <w:rsid w:val="00617925"/>
    <w:rsid w:val="00621B47"/>
    <w:rsid w:val="00623083"/>
    <w:rsid w:val="006245DB"/>
    <w:rsid w:val="00631122"/>
    <w:rsid w:val="00636220"/>
    <w:rsid w:val="006365F1"/>
    <w:rsid w:val="0065616C"/>
    <w:rsid w:val="00664177"/>
    <w:rsid w:val="00670403"/>
    <w:rsid w:val="00670B48"/>
    <w:rsid w:val="00677F09"/>
    <w:rsid w:val="006876BA"/>
    <w:rsid w:val="00690756"/>
    <w:rsid w:val="00697F29"/>
    <w:rsid w:val="006B0EBF"/>
    <w:rsid w:val="006B419C"/>
    <w:rsid w:val="006C2A38"/>
    <w:rsid w:val="006C3819"/>
    <w:rsid w:val="006D560B"/>
    <w:rsid w:val="006E17BA"/>
    <w:rsid w:val="007143FB"/>
    <w:rsid w:val="00715B2C"/>
    <w:rsid w:val="00715C42"/>
    <w:rsid w:val="0071660B"/>
    <w:rsid w:val="00723384"/>
    <w:rsid w:val="00723CCF"/>
    <w:rsid w:val="00732347"/>
    <w:rsid w:val="00734E16"/>
    <w:rsid w:val="00754EDF"/>
    <w:rsid w:val="00756BFD"/>
    <w:rsid w:val="007659E6"/>
    <w:rsid w:val="007676B2"/>
    <w:rsid w:val="00770D5A"/>
    <w:rsid w:val="00785CFE"/>
    <w:rsid w:val="007860A3"/>
    <w:rsid w:val="007C6954"/>
    <w:rsid w:val="007D4F34"/>
    <w:rsid w:val="007F0EA7"/>
    <w:rsid w:val="007F5E7B"/>
    <w:rsid w:val="00805799"/>
    <w:rsid w:val="00816CAF"/>
    <w:rsid w:val="00816F32"/>
    <w:rsid w:val="008230E8"/>
    <w:rsid w:val="00824DA0"/>
    <w:rsid w:val="008350A7"/>
    <w:rsid w:val="0083695E"/>
    <w:rsid w:val="008464CB"/>
    <w:rsid w:val="0085320F"/>
    <w:rsid w:val="0085648E"/>
    <w:rsid w:val="00893C83"/>
    <w:rsid w:val="008B4AD3"/>
    <w:rsid w:val="008C19FE"/>
    <w:rsid w:val="008C7D19"/>
    <w:rsid w:val="008D7A02"/>
    <w:rsid w:val="008E3998"/>
    <w:rsid w:val="008E4CCC"/>
    <w:rsid w:val="008E6121"/>
    <w:rsid w:val="008F2A7F"/>
    <w:rsid w:val="00900070"/>
    <w:rsid w:val="009136A2"/>
    <w:rsid w:val="00920844"/>
    <w:rsid w:val="00937900"/>
    <w:rsid w:val="009425B0"/>
    <w:rsid w:val="009609FC"/>
    <w:rsid w:val="00967AEF"/>
    <w:rsid w:val="009771D6"/>
    <w:rsid w:val="009877DE"/>
    <w:rsid w:val="009A0AB1"/>
    <w:rsid w:val="009B46FC"/>
    <w:rsid w:val="009D2FCD"/>
    <w:rsid w:val="009D60B9"/>
    <w:rsid w:val="009E740B"/>
    <w:rsid w:val="00A0172C"/>
    <w:rsid w:val="00A065C1"/>
    <w:rsid w:val="00A156E6"/>
    <w:rsid w:val="00A2000E"/>
    <w:rsid w:val="00A26ECF"/>
    <w:rsid w:val="00A27F26"/>
    <w:rsid w:val="00A30862"/>
    <w:rsid w:val="00A3087D"/>
    <w:rsid w:val="00A32A76"/>
    <w:rsid w:val="00A36176"/>
    <w:rsid w:val="00A431EC"/>
    <w:rsid w:val="00A46554"/>
    <w:rsid w:val="00A67A0F"/>
    <w:rsid w:val="00A710B2"/>
    <w:rsid w:val="00A763A5"/>
    <w:rsid w:val="00A777C6"/>
    <w:rsid w:val="00AB383C"/>
    <w:rsid w:val="00AC04A5"/>
    <w:rsid w:val="00AC518E"/>
    <w:rsid w:val="00AD1C98"/>
    <w:rsid w:val="00AD3BEA"/>
    <w:rsid w:val="00AE0D7B"/>
    <w:rsid w:val="00AE1BF2"/>
    <w:rsid w:val="00AE4AB1"/>
    <w:rsid w:val="00AF2B7D"/>
    <w:rsid w:val="00B06E3C"/>
    <w:rsid w:val="00B07338"/>
    <w:rsid w:val="00B114F5"/>
    <w:rsid w:val="00B210D0"/>
    <w:rsid w:val="00B21955"/>
    <w:rsid w:val="00B327E3"/>
    <w:rsid w:val="00B47B7D"/>
    <w:rsid w:val="00B61E3A"/>
    <w:rsid w:val="00B6437B"/>
    <w:rsid w:val="00B74C34"/>
    <w:rsid w:val="00B7625F"/>
    <w:rsid w:val="00B86B9C"/>
    <w:rsid w:val="00BA230E"/>
    <w:rsid w:val="00BA2D86"/>
    <w:rsid w:val="00BA7821"/>
    <w:rsid w:val="00BB5636"/>
    <w:rsid w:val="00BC07E1"/>
    <w:rsid w:val="00BC153B"/>
    <w:rsid w:val="00BC1EBE"/>
    <w:rsid w:val="00BD2AE1"/>
    <w:rsid w:val="00BF450D"/>
    <w:rsid w:val="00C03F74"/>
    <w:rsid w:val="00C054D6"/>
    <w:rsid w:val="00C06D1B"/>
    <w:rsid w:val="00C157B6"/>
    <w:rsid w:val="00C15B49"/>
    <w:rsid w:val="00C27B05"/>
    <w:rsid w:val="00C47F9E"/>
    <w:rsid w:val="00C50A7C"/>
    <w:rsid w:val="00C51D19"/>
    <w:rsid w:val="00C544C2"/>
    <w:rsid w:val="00C54B37"/>
    <w:rsid w:val="00C71C14"/>
    <w:rsid w:val="00C72344"/>
    <w:rsid w:val="00C93D9F"/>
    <w:rsid w:val="00CA0638"/>
    <w:rsid w:val="00CA5A1D"/>
    <w:rsid w:val="00CB639F"/>
    <w:rsid w:val="00CC3A09"/>
    <w:rsid w:val="00CC631A"/>
    <w:rsid w:val="00CD71B8"/>
    <w:rsid w:val="00CF3435"/>
    <w:rsid w:val="00D016A7"/>
    <w:rsid w:val="00D0312C"/>
    <w:rsid w:val="00D13EAA"/>
    <w:rsid w:val="00D17876"/>
    <w:rsid w:val="00D20AC4"/>
    <w:rsid w:val="00D22315"/>
    <w:rsid w:val="00D43B1F"/>
    <w:rsid w:val="00D43B62"/>
    <w:rsid w:val="00D45DF7"/>
    <w:rsid w:val="00D5141E"/>
    <w:rsid w:val="00D55993"/>
    <w:rsid w:val="00D603C8"/>
    <w:rsid w:val="00D627D0"/>
    <w:rsid w:val="00D6605E"/>
    <w:rsid w:val="00D708AC"/>
    <w:rsid w:val="00D80271"/>
    <w:rsid w:val="00D903BC"/>
    <w:rsid w:val="00D92307"/>
    <w:rsid w:val="00D9429A"/>
    <w:rsid w:val="00DA4F81"/>
    <w:rsid w:val="00DC0EC8"/>
    <w:rsid w:val="00DC2D07"/>
    <w:rsid w:val="00DD611E"/>
    <w:rsid w:val="00DE1476"/>
    <w:rsid w:val="00DE25E6"/>
    <w:rsid w:val="00DE40F8"/>
    <w:rsid w:val="00DF16C8"/>
    <w:rsid w:val="00DF1AD6"/>
    <w:rsid w:val="00DF4B62"/>
    <w:rsid w:val="00E00507"/>
    <w:rsid w:val="00E06E12"/>
    <w:rsid w:val="00E07E66"/>
    <w:rsid w:val="00E16B13"/>
    <w:rsid w:val="00E2283F"/>
    <w:rsid w:val="00E25421"/>
    <w:rsid w:val="00E25774"/>
    <w:rsid w:val="00E42251"/>
    <w:rsid w:val="00E72E0C"/>
    <w:rsid w:val="00E82638"/>
    <w:rsid w:val="00E90686"/>
    <w:rsid w:val="00E94C8A"/>
    <w:rsid w:val="00E97762"/>
    <w:rsid w:val="00EA636D"/>
    <w:rsid w:val="00EC5FD8"/>
    <w:rsid w:val="00EC7A54"/>
    <w:rsid w:val="00EE1647"/>
    <w:rsid w:val="00EF549B"/>
    <w:rsid w:val="00F3145D"/>
    <w:rsid w:val="00F441F0"/>
    <w:rsid w:val="00F74567"/>
    <w:rsid w:val="00F75253"/>
    <w:rsid w:val="00FA781E"/>
    <w:rsid w:val="00FC2784"/>
    <w:rsid w:val="00FC567F"/>
    <w:rsid w:val="00FD5551"/>
    <w:rsid w:val="00FF4CCF"/>
    <w:rsid w:val="00FF4D55"/>
    <w:rsid w:val="13BB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paragraph" w:customStyle="1" w:styleId="8">
    <w:name w:val="Char Char Char Char"/>
    <w:basedOn w:val="1"/>
    <w:qFormat/>
    <w:uiPriority w:val="0"/>
    <w:pPr>
      <w:widowControl/>
      <w:snapToGrid w:val="0"/>
      <w:spacing w:after="160" w:line="240" w:lineRule="exact"/>
      <w:ind w:left="0"/>
      <w:jc w:val="left"/>
      <w:textAlignment w:val="auto"/>
    </w:pPr>
    <w:rPr>
      <w:rFonts w:eastAsia="仿宋_GB2312"/>
      <w:sz w:val="21"/>
    </w:rPr>
  </w:style>
  <w:style w:type="character" w:customStyle="1" w:styleId="9">
    <w:name w:val="页眉 Char"/>
    <w:basedOn w:val="6"/>
    <w:link w:val="4"/>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272</Words>
  <Characters>1556</Characters>
  <Lines>12</Lines>
  <Paragraphs>3</Paragraphs>
  <TotalTime>2</TotalTime>
  <ScaleCrop>false</ScaleCrop>
  <LinksUpToDate>false</LinksUpToDate>
  <CharactersWithSpaces>1825</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2019-01-14T02:34:00Z</dcterms:created>
  <dc:creator>微软用户</dc:creator>
  <cp:lastModifiedBy>旺荣</cp:lastModifiedBy>
  <cp:lastPrinted>2019-01-08T05:15:00Z</cp:lastPrinted>
  <dcterms:modified xsi:type="dcterms:W3CDTF">2019-01-17T01:03:56Z</dcterms:modified>
  <dc:title>扶持工业发展优惠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