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300"/>
        <w:rPr>
          <w:rFonts w:hint="eastAsia" w:ascii="方正粗宋简体" w:hAnsi="方正粗宋简体" w:eastAsia="方正粗宋简体" w:cs="方正粗宋简体"/>
          <w:sz w:val="84"/>
          <w:szCs w:val="84"/>
          <w:lang w:eastAsia="zh-CN"/>
        </w:rPr>
      </w:pPr>
      <w:r>
        <w:rPr>
          <w:rFonts w:hint="eastAsia" w:ascii="方正粗宋简体" w:hAnsi="方正粗宋简体" w:eastAsia="方正粗宋简体" w:cs="方正粗宋简体"/>
          <w:sz w:val="84"/>
          <w:szCs w:val="84"/>
          <w:lang w:eastAsia="zh-CN"/>
        </w:rPr>
        <w:t>投资永定</w:t>
      </w:r>
    </w:p>
    <w:p>
      <w:pPr>
        <w:rPr>
          <w:rFonts w:hint="eastAsia" w:ascii="方正粗宋简体" w:hAnsi="方正粗宋简体" w:eastAsia="方正粗宋简体" w:cs="方正粗宋简体"/>
          <w:sz w:val="84"/>
          <w:szCs w:val="84"/>
          <w:lang w:eastAsia="zh-CN"/>
        </w:rPr>
      </w:pPr>
    </w:p>
    <w:p>
      <w:pPr>
        <w:ind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创业    创新    秀美    厚德</w:t>
      </w: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p>
    <w:p>
      <w:pPr>
        <w:ind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目录</w:t>
      </w:r>
    </w:p>
    <w:p>
      <w:pPr>
        <w:ind w:firstLine="880" w:firstLineChars="200"/>
        <w:rPr>
          <w:rFonts w:hint="eastAsia" w:asciiTheme="majorEastAsia" w:hAnsiTheme="majorEastAsia" w:eastAsiaTheme="majorEastAsia" w:cstheme="majorEastAsia"/>
          <w:sz w:val="44"/>
          <w:szCs w:val="44"/>
          <w:lang w:eastAsia="zh-CN"/>
        </w:rPr>
      </w:pPr>
    </w:p>
    <w:p>
      <w:pPr>
        <w:numPr>
          <w:ilvl w:val="0"/>
          <w:numId w:val="1"/>
        </w:numPr>
        <w:ind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永定区情</w:t>
      </w:r>
    </w:p>
    <w:p>
      <w:pPr>
        <w:numPr>
          <w:ilvl w:val="0"/>
          <w:numId w:val="1"/>
        </w:numPr>
        <w:ind w:left="0" w:leftChars="0"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产业导向</w:t>
      </w:r>
    </w:p>
    <w:p>
      <w:pPr>
        <w:numPr>
          <w:ilvl w:val="0"/>
          <w:numId w:val="1"/>
        </w:numPr>
        <w:ind w:left="0" w:leftChars="0"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发展平台</w:t>
      </w:r>
    </w:p>
    <w:p>
      <w:pPr>
        <w:numPr>
          <w:ilvl w:val="0"/>
          <w:numId w:val="1"/>
        </w:numPr>
        <w:ind w:left="0" w:leftChars="0"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投资政策</w:t>
      </w:r>
    </w:p>
    <w:p>
      <w:pPr>
        <w:numPr>
          <w:ilvl w:val="0"/>
          <w:numId w:val="1"/>
        </w:numPr>
        <w:ind w:left="0" w:leftChars="0" w:firstLine="880" w:firstLineChars="2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资源服务</w:t>
      </w: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永定名片</w:t>
      </w:r>
    </w:p>
    <w:p>
      <w:pPr>
        <w:widowControl w:val="0"/>
        <w:numPr>
          <w:ilvl w:val="0"/>
          <w:numId w:val="0"/>
        </w:numPr>
        <w:jc w:val="both"/>
        <w:rPr>
          <w:rFonts w:hint="eastAsia" w:asciiTheme="majorEastAsia" w:hAnsiTheme="majorEastAsia" w:eastAsiaTheme="majorEastAsia" w:cstheme="majorEastAsia"/>
          <w:sz w:val="44"/>
          <w:szCs w:val="44"/>
          <w:lang w:eastAsia="zh-CN"/>
        </w:rPr>
      </w:pP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世界文化遗产</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中国旅游百强县</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海峡两岸交流基地</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全国科技进步先进县</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国家卫生县城</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省级园林县城</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省级森林县城</w:t>
      </w:r>
    </w:p>
    <w:p>
      <w:pPr>
        <w:widowControl w:val="0"/>
        <w:numPr>
          <w:ilvl w:val="0"/>
          <w:numId w:val="0"/>
        </w:num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全省平安先行县</w:t>
      </w:r>
    </w:p>
    <w:p>
      <w:pPr>
        <w:widowControl w:val="0"/>
        <w:numPr>
          <w:ilvl w:val="0"/>
          <w:numId w:val="0"/>
        </w:numPr>
        <w:jc w:val="both"/>
        <w:rPr>
          <w:rFonts w:hint="eastAsia" w:asciiTheme="majorEastAsia" w:hAnsiTheme="majorEastAsia" w:eastAsiaTheme="majorEastAsia" w:cstheme="majorEastAsia"/>
          <w:sz w:val="30"/>
          <w:szCs w:val="30"/>
          <w:lang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eastAsia="zh-CN"/>
        </w:rPr>
        <w:t>国家</w:t>
      </w:r>
      <w:r>
        <w:rPr>
          <w:rFonts w:hint="eastAsia" w:asciiTheme="majorEastAsia" w:hAnsiTheme="majorEastAsia" w:eastAsiaTheme="majorEastAsia" w:cstheme="majorEastAsia"/>
          <w:sz w:val="30"/>
          <w:szCs w:val="30"/>
          <w:lang w:val="en-US" w:eastAsia="zh-CN"/>
        </w:rPr>
        <w:t>5A级旅游风景区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美丽中国十佳旅游县</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全国传统文化教育示范基地</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国家知识产权强县工程试点县</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省级文明县城</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省级生态县城</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省双拥模范县</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福建“十佳醉美县城”</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区互联网产业孵化园成为“省级互联网孵化器”、省众创空间</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湖坑镇南江村入选“全国生态文化村”、“全国宜居村庄示范村”</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“土楼e支部”入选第三届全国基层党建创新优秀案例</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“新农村优秀人才超市”荣获全国基层人才工作创新最佳案例奖</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永定区情</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龙岩市永定区地处福建省西南部，东临漳州市、厦门市，西南接广东省梅州市。自新石器时代起，永定就有人类聚居、繁衍生息。明成化十四年（1478年）析上杭县五里十九图建县，并取“永远平定”之意，命名为永定县，隶属汀州府。2014年12月13日，经国务院批准撤县设区，并于2015年2月9日授牌成立，开启了永定以区为治的新纪元。全区总面积2223平方公里，下辖1个街道、12个镇、11个乡，279个村（居），人口50万。</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永定交通便捷畅通，基本形成了以高速公路和国道、省道为骨架，区道、乡道为依托，乡村公路网络化，干支衔接，四通八达的城乡一体交通格局。</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公路方面：莆田到永定的高速公路直通城区和土楼景区。福建高速公路网“漳（州）武（平）线”永定至上杭段、永梅出省公路即将建成通车，永定至南靖段工程已经开工建设。永定境内的国道G357线（东山—泸水）、G235线（新沂—海丰)，使外接内连能力得到进一步加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铁路方面：龙（岩）梅（州）铁路穿境而过，西接梅州，南衔深圳，北与京九铁路相通，现有2列火车经过永定（厦门—永定—昆明、厦门—永定—广州东）。目前，正在推进的高铁项目--厦长渝高铁龙厦四线，规划途经永定区并设站，届时永定与厦漳泉、长江中游、成渝等城市群的互联互通将更为快速便捷。</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机场方面：在100多公里范围之内，有厦门高崎国际机场、连城冠豸山机场和广东梅州机场，正在规划中的龙岩机场在永定范围内，陆空通道基本连接，处在厦门“一小时经济圈”、珠三角和长三角“三小时经济圈”范围内。</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客家祖地。永定是原中央苏区县之一，曾留下了毛泽东、朱德、周恩来、陈毅、张鼎丞等老一辈无产阶级革命家的战斗足迹。永定是客家人重要的聚居地和集散地，有港澳台同胞、海外侨胞50万人，是全国重点对台工作区和福建省重点侨乡。爱国侨领、“万金油大王”胡文虎和中国国民党前主席吴伯雄等人的祖籍地就在永定。包括永定客家博览园、福建土楼永定景区、吴伯雄祖籍地下洋镇思贤村等多个点组成的“永定客家文化园”，2012年被中共中央台办、国务院台办批准为海峡两岸交流基地。</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旅游胜地。以永定客家土楼为主体的世界文化遗产福建土楼是福建省十大旅游名片之一，胡锦涛同志赞誉说：“客家土楼是中华文化的瑰宝，是大家庭、小社会和谐相处的典范”。境内还有1个“国家4A级旅游景区”天子生态旅游度假区，下洋中川古村落、金砂红色旧址群等12个“国家3A级旅游景区”，龙湖“国家水利风景区”，王寿山“国家森林公园”。</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资源宝地。永定已经探明的矿产资源有36种，其中，煤炭储量3.5亿吨，石灰石储量3.58亿吨，“永定红”花岗岩储量5亿立方米。生态资源环境良好，有林地面积244.8万亩；活立木蓄积量560万立方米，毛竹面积16.5万亩。水利资源丰富，水能资源蕴藏量达72.2万千瓦，境内的棉花滩水电站装机60万千瓦，是福建省第二大水电站。华润湖坑风电全面并网发电，风能等新能源开发潜力较大。永定烤烟是全国清香型烤烟的代表，曾被乾隆皇帝赐号“烟魁”的称号，境内的金叶复烤是福建中烟“七匹狼”品牌重要的原料精加工基地，技术装备水平、产品工艺质量、烟叶仓储能力达到国内同行一流水平。</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养生福地。永定区森林覆盖率达74.1%，人均公园绿地面积13.14平方米，绿地率达40.19%，是生态优美的山水园林式旅游宜居城市。空气质量常年保持优良等级，负氧离子数量每立方厘米达1.2万个以上，是名副其实的“天然氧吧”，健康休闲疗养的养生福地。天子温泉是福建省乃至大陆屈指可数的山水园林式露天温泉，结合了传统和现代的养生休闲文化。永定长寿老人占总人口的6.16/10万（高于世界卫生组织标准6/10万），超过“长寿之乡”的标准。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产业规划</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加快构建“341”产业新体系。深入开展“产业发展突破年”活动，优化升级“125”产业，构建文旅康养、光电信息、新型建材三大百亿产业为支撑，做优能源、现代农业、白酒酿造、生物制药四大产业为基础，引入制衣产业为增量的“341”产业新格局。</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——做大做强文旅康养优势产业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着力培育发展文化旅游、演艺会展、动漫游戏、网络文化等新兴文化产业，以客家博览园、土楼梦幻剧场等项目为依托，推动客家文化、土楼文化、廉政文化、红色文化、侨台文化、温泉养生文化与旅游业深度融合，提升文旅产业文化内涵。加快构建“一核两翼·东楼西湖”旅游产业发展格局，突出“土楼+”，借土楼扬名、借龙湖发展，策划以观光游览、文化体验、体育赛事、温泉度假、红色经典、生态休闲为内核的多元化产品，全力推进全域旅游发展。</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——加快培育光电信息产业集群</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按照“建链强链补链”的思路，聚焦手机平板电脑和通讯线材、电子元器件、光纤光缆等领域，大力引进上下游关联企业或产业链中具有核心地位的龙头企业，切实补齐产业链短板，推进光电信息产业向高端化、科技化、规模化发展，加快构建信息产业集群。力争2019年光电信息产业产值突破30亿元。</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——推动建材产业整合提升</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激发传统建材产业活力，提升资源综合利用效率，推动建材产业转型发展。全力推动“永定红”石材循环产业园建设，引进板材精深加工、石粉处理加工等先进加工企业，不断提高产品附加值。鼓励企业引进先进矿山开采设备和循环利用技术，大力发展循环经济，全力打造石材加工产业链条。加大对水泥、石板材等传统建材产业的技改升级力度，支持竹缠绕复合管、乾元建材、闽盛建材等新型建材企业发展壮大，推动新型建材产业集聚发展，力争2019年建材产业产值突破60亿元。</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——培育壮大其它产业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1.能源产业：推进6家骨干煤炭矿井技改提升，稳定煤炭产能。大力发展太阳能、风能等新能源产业项目。</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2.现代农业：以“五统一”工程为抓手，持续推进农业产业化进程，开展“客家土楼”农业品牌营销行动，不断提升土楼农业品牌知名度和附加值。</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3.白酒酿造：加快客家土楼酒村项目建设进度，鼓励酿酒企业提高新装备、新工艺、新技术、新产品开发应用水平，提升白酒品牌知名度和市场占有率，打造中国米香型白酒之乡。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4.生物制药：规划建设生物制药产业园，做大“百年老字号”采善堂，创新药企发展模式，引进知名药企开展战略合作，不断研发新产品，扩大市场影响力，焕发采善堂老字号的新活力。</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——培育引进制衣产业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积极对接粤港澳大湾区制衣产业大转移，通过与央企中信环保联手合作，做深做实制衣产业落户前期工作，大力引进制衣企业、洗衣企业，积极推进制衣园区的环保设施建设和循环经济发展，打造高标准、可循环的制衣产业集群。</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产业平台</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按照“抓龙头、铸链条、建集群”的思路，全方位推进工业经济发展，着力构建“一带两园三集群”。“一带”，即沿龙潭—抚市—湖雷—城区—仙师—洪山为主的工业经济带，“两园”即永定工业园区（含湖雷、下洋）和洪山石材循环经济产业园区；“三集群”，即能源产业集群、建材产业集群、酿酒产业集群。</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——永定工业园区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园区地处永定城区西南3公里，位于“莆（田）永（定）”、“漳（州）武（平）”两条高速公路互联出口，规划用地面积13.68平方公里。其中，一期总规划面积为6.32平方公里，二期规划面积7.36平方公里。一期规划三个组团。同时，利用莆永高速公路湖雷、下洋出入口，发展“道口经济”。园区将重点引入龙头企业，促进光电信息、新材料产业集聚发展，打造区域经济发展的核心引擎。</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——洪山石材循环经济产业园区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位于洪山乡，现有石材加工企业80家。园区将按照统一规划、统一开采、统一加工、统一管理、统一销售的“五统一”发展模式，加快与大企业集团战略合作步伐，推动“永定红”石材规模规范开发和深加工，实现资源高效利用，打造成为全省循环经济示范园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——文化旅游创意产业园</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围绕国际旅游目的地建设目标，主动融入“一带一路”旅游协作机制，全力演好全域旅游“重头戏”，重抓东部“文化传承·原乡寻踪”世界遗产走廊、南部“生态新城·养生福地”工贸旅游黄金走廊建设，加快推进龙湖、王寿山景区开发利用，加快构建“一核两翼三廊”旅游产业发展格局。全力做好“文化旅游+”文章，推动文化旅游产业与相关优势产业多元创新融合发展，切实把福建土楼客家文化旅游创意产业园打造成功能明确、特色鲜明、产出高效的全国知名文化旅游产业集聚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文秀片区产业园简介</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文秀片区产业园位于永定区坎市镇文馆村、秀山村、浮山村,是龙岩市“一市两区三组团”发展格局中“高坎组团”的重要组成部分。规划总用地面积约1.75万亩，其中一期规划4845亩，计划总投资20亿元，定位为龙岩市军民融合暨智能制造产业园、龙岩市新型工业化产业基地、龙岩市“一市两区”产城融合示范区。同城大道穿境而过，莆永高速坎市互通设在园区规划范围内，区位交通优势明显；周边学校、医院、金融保险机构等城市生活配套设施优质齐全，有中小学6所、二乙综合性医院1家、金融保险机构8家、大型超市4家，人居环境优美，产城有机融合；有日供水能力1万吨的坎市镇自来水厂1座，库容80万立方的白土水库1座，日处理能力4万吨的污水处理厂1座，110KV和35KV变电站各1座，生产要素富集，生态环境良好。</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文秀片区产业园红线图</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u w:val="single"/>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投资政策</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投资优惠措施</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用地保障措施。工业项目建设用地可按照国家规定的工业用地最低出让价格出让土地。符合产业发展导向和节约集约用地要求、且投资规模较大的龙头产业项目入驻工业园区，并列入省重点项目管理的，允许按我区工业用地最低价标准的70%为底价，实施招拍挂出让土地使用权，并可根据实际情况，免收土地开发利用履约保证金。</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厂房补助措施。对新建或购买标准厂房每平方米给予补助100元；钢结构厂房每平方米给予补助20元。标准厂房有恒温、恒湿、空气净化等特殊要求、建设费用较高的，补助办法另行确定。对租赁工业园区内政府投资建设的标准厂房的生产经营性企业，前3年内免收租金；第四、第五年按租金的50%收取。</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设备补助措施。新购成套设备按设备价格的5%比例给予补助，单个企业补助金额不超过300万元。从本区外搬迁到工业园区的企业，对随迁的原有成套设备按购置价格的2.5%比例给予补助。</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物流补贴措施。对于园区内年度应税销售收入2000万元以上的工业企业，应税销售收入超过2000万元部分，每万元给予10元物流补贴。</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资金扶持措施。设立“产业发展基金”，对重特大企业、龙头企业和产业链条中关键性企业的工业投资、技改提升、科技创新、品牌创建、市场开拓等方面给予产业引导资金扶持。对项目所需流动资金贷款由区财政给予贴息两年，其中：完成固定资产投资1000万元—5000万元（不含5000万元）的，年贴息额不高于20万元；5000万元—1亿元（不含1亿元）的，年贴息额不高于50万元；完成固定资产投资1亿元以上的，年贴息额不高于100万元。永定区永鑫融资担保有限公司对符合贷款担保条件的生产性工业项目，优先提供每笔不超过1000万元的银行贷款担保。给予中小微工业企业还贷应急资金服务，对符合国家产业政策、发展前景良好、贷款即将到期、银行承诺续贷的资金周转暂时困难企业提供短期应急周转资金服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创新鼓励措施。对投产后被认定为高新技术企业的，给予一次性奖励50万元；对列入国家级、省级、市级技术中心企业的，分别给予奖励50万元、30万元、20万元；对成功实现科技成果转化并获得省发改委资金支持的企业给予一次性奖励10万元。获得国家、省名牌产品或中国驰名商标、国家技术专利等的企业，按其所获得国家、省、市奖励资金的50%予以配套奖励。</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上市鼓励措施。对在永定区注册并纳税的上市企业，在主板、创业板成功上市的，给予奖励300万元（含上级政府奖励部分）；在“新三板”成功上市的，给予奖励150万元（含上级政府奖励部分）。</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就业保障措施。工业园区内企业就业员工和城区外的规上工业企业高级管理、高级技能人才及其子女，在户籍、就学、就医、参军等生活服务方面，享受城区居民同等待遇。工业园区内企业、城区外的规上工业企业符合条件的企业高级管理和中级以上专业技术人员，可优先享受人才安置住房的政策扶持。在工业园区内企业就业的员工，连续在同一企业就业满三年，在城区首次购买商品房的，每平方米给予补贴300元。对首次进入工业园区内企业就业满六个月的员工，给予每人600元的生活补贴。</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投资服务措施。在区商务局（招商局）设立投资服务中心，负责实施项目动态跟踪管理服务；在区效能办设立项目投诉中心，负责调查处理企业反映的党政机关及其工作人员“吃、拿、卡、要”和项目推进过程中不作为、慢作为、乱作为等行为。对招商引资项目实行首问责任制、会商评估制、首席谈判制、合同文本审核制、项目决策制、项目挂钩制、并联审批制、监督问责制，全力保障项目建设工作。</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一事一议措施。对投资强度大、税收贡献能力强、高新技术型、创新成长型的重特大项目，实行扶持政策“一事一议”。</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委托招商奖励措施</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奖励对象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1.全国各地商会及驻点招商组。是指龙岩市驻点招商组、全国各地商会等参与招商引进项目落户到永定的有功人员。</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2.经济服务机构。是指区内国有企业以外的其他经济组织。</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3.个人。是指其他非我区公职人员。</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受奖单位和个人认定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引进项目至落地全过程服务并起主导作用符合奖励对象和标准的单位或个人。</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奖励标准和办法</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1.引进生产性工业项目奖励。引进固定资产投资规模3000万元（含）～5000万元，每个项目给予奖励5万元。此类项目一年内需完成固定资产投资25%以上。</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2.引进大型工业项目奖励。引进固定资产投资规模5000万元（含）～1亿元，每个项目给予奖励10万元；固定资产投资规模达1～2亿元（含），每个项目给予奖励15万元。此类项目一年内需开工建设。</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3.引进重大工业项目奖励。固定资产投资规模达2～5亿元（含）的工业项目每个项目给予奖励20万元；固定资产投资规模达5～10亿元以上的工业项目，每个项目给予奖励30万元。此类项目一年内需开工建设。</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4.引进特大工业项目奖励。全国各地商会、驻点招商组、经济服务机构及个人引进固定资产投资额达到10亿元以上的工业项目，按“一事一议”原则，签订引资奖励合同。</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奖励金兑现</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1.工业项目签约并交纳履约保证金，主体工程开工或租赁厂房设备开始安装兑现30%奖金，主体工程完成或主要设备安装完成再兑现50%奖金，正式投产后兑现剩余20%奖金；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2.或者根据项目建设年限，每年按固定资产投资的占比完成情况来兑现奖金。</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促进总部经济发展实施措施</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为促进我区总部经济快速、健康发展，根据《福建省人民政府关于促进总部经济发展的意见》和省财政厅《关于进一步促进总部经济发展的指导意见》，结合我区实际，特制定本实施细则。</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一、扶持对象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（一）总部企业。是指生产经营场所在区外，核心营运机构设在我区，在我区工商登记注册，具有独立法人资格，实行统一核算并缴纳税收的企业。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（二）区域性总部企业。是指总部在外地，在我区注册设立具有独立法人资格的区域营销中心或其他职能部门，且在我区缴纳税收的企业。</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（三）子公司。是指区外企业在我区新设子公司或将分支机构改制为子公司（招商引资实际引进企业及政府性投资项目承建企业要求在本区设立子公司的企业除外）。</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二、认定条件</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（一）纳税主体确认。1.在辖区内工商登记注册；2.有固定的经营场所；3.在金融机构开设银行帐号；4.能够按照国家统一的会计制度规定设置帐簿，根据合法、有效凭证核算，能提供准确税务资料。</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（二）地方税收贡献。年缴纳增值税、企业所得税地方税收贡献额50万元以上。</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三、扶持措施</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（一）办公用房补助。入驻永定境内且地方税收贡献额50万元以上的总部经济企业，享受办公用房补助政策。</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在园区总部经济大楼设办公场所的企业，其办公用房免收租金。年缴税额低于50万元的按园区办公用房租赁有关标准执行。</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在园区外租用办公用房的，按园区办公用房出租标准，年总额不超过30万元补助。</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新建或购置办公用房，自当月起3年内，按该房产实际入库房产税的40%给予补助。单个企业享受此项补助累计不超过100万元。</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经营贡献奖励。总部经济企业在落户后的前五年，按每年对地方税收贡献额在50万元以上-100万元、100万元以上-500万元、500万元以上标准，分别按其贡献额的50%、60%、70%，由区财政通过产业发展基金给予安排扶持。地方财政贡献特别大的税源企业可实行“一企一策”扶持。</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三）人才激励扶持。对符合总部经济条件的企业高层管理和技术人才，按其当年在本地缴纳的个人所得税地方税收贡献额的50%，给予住房和生活等补助。总部企业负责人、中层管理人员、专业技术人员等，符合省、市、区有关人才引进规定条件的，按相关文件给予相应待遇。</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重点招商项目</w:t>
      </w:r>
    </w:p>
    <w:tbl>
      <w:tblPr>
        <w:tblStyle w:val="5"/>
        <w:tblW w:w="10461"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742"/>
        <w:gridCol w:w="1060"/>
        <w:gridCol w:w="3000"/>
        <w:gridCol w:w="1513"/>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项目名称</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总投资亿元</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主要建设规模和内容</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合作方式</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前期工作情况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燃气发电机组生产项目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10.2</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项目占地面积500亩，建设年产1万套燃气发电机组生产线。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已完成选址、规划、可研报告编制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2</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紫金龙湖生态旅游综合开发项目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100</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规划控制面积约12平方公里，主要建设旅游服务中心、龙湖新城、旅游休闲度假区、高档别墅区、现代农庄、高尔夫基地、宗教文化体验区、休闲游乐中心以及</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环湖马拉松、自行车赛道等九大板块项目。</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直接投资或股权合作</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已完成选址、规划、可研报告编制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3</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永定客家土楼文化小镇建设项目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69.52</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（1）洪坑客家民俗文化小镇规划面积5平方公里，主要建设客家家训馆整治提升工程、客家发俗风情互动体验馆、客家土楼风情街、土楼地宫·客家土楼自然博物馆等项目</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（2）初溪客家土楼美食小镇规划面积约3平方公里，主要建设游客服务中心、客家土楼特色食品加工园、下洋美食街等建设项目。</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直接投资或合资或合作</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已完成选址、规划、可研报告编制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4</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光学级聚脂薄膜生产线项目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10.71</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项目占地100亩，主要建设年产5万吨光学级聚脂薄膜生产线。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已完成选址、规划、可研报告编制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5</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“永定红”石材循环经济产业园</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60.98</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项目规划3000亩，将洪山、峰市石材产业以采掘区、加工区、石文化展示区、行政综合服务区四大版块组合，打造为省级开发区和全省政企合作的循环经济示范园区。</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直接投资或股权合作</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已完成选址、规划、预可研报告编制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6</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空中观土楼旅游综合开发项目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10.42</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项目占地300亩，主要建设空中看土楼机场区（飞行区、航站区、基地保障区）、商业服务区（直升机展示中心、高端商务区、地面航空博物馆、地面航空主题公园、</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航空星级主题酒店以及综合办公楼），购置设备（直九5架、EC120蜂鸟2架、观光车及相关配套设备）。</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7</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新能源汽车CNT高功率电池生产项目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11.52</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项目占地210亩，建设生产厂房、仓储与动力设施,形成年产1200万块新能源汽车CNT高功率电池（200AH/块），满足13万辆新能源汽车动力电池用量的生产能力。</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已完成项目选址、规划、预可研报告编制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8</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石墨烯智能标签生产项目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5.08</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项目规划总用地约30亩，总建筑面积17980㎡，建设内容包括综合办公楼及研发中心、职工活动中心、职工倒班宿舍楼和门卫值班室，年产6亿张石墨烯智能标签。</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独资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已完成项目选址、规划、预可研报告编制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9</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高速高频电阻铜焊线建设项目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10.98</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项目占地150亩，建设年产4.5万吨高速高频电阻铜焊线生产线。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10</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智能专用电动汽车生产项目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60</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项目占地500亩，建设年产警用智能专用电动汽车5万辆、年产城管执法专用电动汽车5万辆生产线。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11</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节能汽车发动机机油泵制造项目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rPr>
              <w:t>5.27</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项目占地75亩，建设年产150万台节能汽车发动机机油泵生产线。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12</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环保设备及助剂生产线项目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1.64</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本项目拟购置土地30亩，购置先进生产设备建设环保设备及助剂生产线，年产环保设备2000台（水处理与工艺过程控制器1000台、纳米级过滤材料设备1000台），助剂20500吨</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（阻垢缓蚀剂10000吨，结焦抑制剂2000吨，微生物抑制剂2000吨，消泡剂500吨，高分子絮凝剂3000吨，废水高效处理剂3000吨），达产后年产值可达2.03亿元。</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独资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已完成项目选址、规划、预可研报告编制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13</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智能家电控制系统生产项目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5.05</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项目占地100亩，建设年产55万套智能家电控制系统生产线。</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已完成选址、预可研报告编制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14</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建筑减隔震制品生产项目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10.24</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项目规划总用地约150亩，总建筑面积72340㎡，主要建设生产车间，辅助生产工程及相关配套设施。实现年产16.1万套建筑减隔震制品（其中11万套屈曲约束支撑，1.6万套屈曲约束墙，2.5万套剪切型消能器，1万套钢支座）。</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独资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已完成项目选址、规划、预可研报告编制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15</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光纤陶瓷插芯生产项目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5</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属我区已落户光电信息产业配套项目，拟落户永定工业园区，项目占地 500 亩，建设年产 5 亿只光纤陶瓷插芯生产线。项目建成后预计年产值6亿元，实现年利税2500万元。陶瓷插芯是光通讯的核心器件，具有精度高(内孔精度为1微米)、使用寿命长等特点，得到了广泛应用。</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16</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体感摄像头生产项目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5</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占地138亩，建设年产2020万个体感摄像头生产线。项目建成后可实现产值15亿元，利税6000万元。</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17</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裸眼3D液晶显示器生产项目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10</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拟落户永定工业园区，规划面积171亩，主要建设综合生产厂房、综合仓库、辅助工程、综合服务工程及公用辅助工程。项目投产达产后，年产11000台裸眼3D液晶显示器，可实现产值11亿元，利税4500万元。</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18</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电光纤产业集聚区项目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11</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拟落户永定工业园区，项目规划面积150 亩，项目建成后，可年产光纤光缆产品100万公里/年、低水峰非色散位移单模光、超强弯曲不敏感单模光纤、低损耗光纤770万芯公里/年、电线电缆产品28.2万公里/年，可实现产值15亿元，利税6500万元。</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19</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“永定红”石材系列加工项目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15</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该项目总占地400亩，计划建设年产2000万㎡的“永定红”板材、异型材、石雕生产线，年产高端“永定红”石材产品1500万㎡。永定具有相当雄厚的石材产业基础和</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做大做强的优越条件，永定红”花岗岩资源储量大、分布广、品质好，岩石呈肉红色，生产加工的装饰材料为我国东部最优品种，在市场上具有较强的竞争力。</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20</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陶瓷制品生产项目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13</w:t>
            </w:r>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拟落户永定红石材循环经济产业园，项目占地360亩，日产陶瓷12万平方米，年产值7～8亿元。“永定红”石材开采及加工过程中产生了的石粉等废料，是生产高档、</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超高档玉面釉瓷砖和陶瓷制品的优质原料，技术已十分成熟。该项目的实施可以解决污染环境问题，实现废弃物资源化、具有广阔的经济效益和良好的市场前景。</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Align w:val="center"/>
          </w:tcPr>
          <w:p>
            <w:pPr>
              <w:widowControl w:val="0"/>
              <w:numPr>
                <w:ilvl w:val="0"/>
                <w:numId w:val="0"/>
              </w:numPr>
              <w:jc w:val="center"/>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21</w:t>
            </w:r>
          </w:p>
        </w:tc>
        <w:tc>
          <w:tcPr>
            <w:tcW w:w="2742"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牛仔产业国家循环经济基地建设项目</w:t>
            </w:r>
          </w:p>
        </w:tc>
        <w:tc>
          <w:tcPr>
            <w:tcW w:w="1060" w:type="dxa"/>
            <w:vAlign w:val="center"/>
          </w:tcPr>
          <w:p>
            <w:pPr>
              <w:widowControl w:val="0"/>
              <w:numPr>
                <w:ilvl w:val="0"/>
                <w:numId w:val="0"/>
              </w:numPr>
              <w:jc w:val="center"/>
              <w:rPr>
                <w:rFonts w:hint="eastAsia" w:asciiTheme="minorEastAsia" w:hAnsiTheme="minorEastAsia" w:eastAsiaTheme="minorEastAsia" w:cstheme="minorEastAsia"/>
                <w:sz w:val="15"/>
                <w:szCs w:val="15"/>
              </w:rPr>
            </w:pPr>
            <w:r>
              <w:rPr>
                <w:rFonts w:hint="eastAsia"/>
              </w:rPr>
              <w:t>50</w:t>
            </w:r>
            <w:bookmarkStart w:id="0" w:name="_GoBack"/>
            <w:bookmarkEnd w:id="0"/>
          </w:p>
        </w:tc>
        <w:tc>
          <w:tcPr>
            <w:tcW w:w="3000"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拟落户永定工业园区，总建筑面积200万平方米，规划建设牛仔服饰制衣洗水区、服装辅料采购城、物流仓储中心、研发中心、国际牛仔城，配套建设污水处理、供热</w:t>
            </w:r>
          </w:p>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等设施，一期拟引进制衣企业100家左右、洗水企业25家左右。</w:t>
            </w:r>
          </w:p>
        </w:tc>
        <w:tc>
          <w:tcPr>
            <w:tcW w:w="1513"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直接投资</w:t>
            </w:r>
          </w:p>
        </w:tc>
        <w:tc>
          <w:tcPr>
            <w:tcW w:w="1616" w:type="dxa"/>
            <w:vAlign w:val="center"/>
          </w:tcPr>
          <w:p>
            <w:pPr>
              <w:widowControl w:val="0"/>
              <w:numPr>
                <w:ilvl w:val="0"/>
                <w:numId w:val="0"/>
              </w:numPr>
              <w:jc w:val="center"/>
              <w:rPr>
                <w:rFonts w:hint="eastAsia" w:asciiTheme="minorEastAsia" w:hAnsiTheme="minorEastAsia" w:eastAsiaTheme="minorEastAsia" w:cstheme="minorEastAsia"/>
                <w:sz w:val="15"/>
                <w:szCs w:val="15"/>
                <w:vertAlign w:val="baseline"/>
                <w:lang w:val="en-US" w:eastAsia="zh-CN"/>
              </w:rPr>
            </w:pPr>
            <w:r>
              <w:rPr>
                <w:rFonts w:hint="eastAsia"/>
                <w:sz w:val="15"/>
                <w:szCs w:val="15"/>
              </w:rPr>
              <w:t>已完成项目选址，可研报告编制</w:t>
            </w:r>
          </w:p>
        </w:tc>
      </w:tr>
    </w:tbl>
    <w:p>
      <w:pPr>
        <w:widowControl w:val="0"/>
        <w:numPr>
          <w:ilvl w:val="0"/>
          <w:numId w:val="0"/>
        </w:numPr>
        <w:jc w:val="both"/>
        <w:rPr>
          <w:rFonts w:hint="eastAsia" w:asciiTheme="majorEastAsia" w:hAnsiTheme="majorEastAsia" w:eastAsiaTheme="majorEastAsia" w:cstheme="majorEastAsia"/>
          <w:sz w:val="24"/>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投资服务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永定区商务局（招商局）是区政府的项目开发和招商引资的综合机构。主要负责全区项目管理与项目储备、项目开发与招商引资、经济协作与投资等职能，可为投资者提供项目投资推介、政策咨询服务。</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永定区工业园区管委会   0597-3259001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永定区发展和改革局     0597-3258851</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default" w:asciiTheme="majorEastAsia" w:hAnsiTheme="majorEastAsia" w:eastAsiaTheme="majorEastAsia" w:cstheme="majorEastAsia"/>
          <w:sz w:val="30"/>
          <w:szCs w:val="30"/>
          <w:lang w:val="en-US" w:eastAsia="zh-CN"/>
        </w:rPr>
        <w:t>永定区行政服务中心</w:t>
      </w:r>
      <w:r>
        <w:rPr>
          <w:rFonts w:hint="eastAsia" w:asciiTheme="majorEastAsia" w:hAnsiTheme="majorEastAsia" w:eastAsiaTheme="majorEastAsia" w:cstheme="majorEastAsia"/>
          <w:sz w:val="30"/>
          <w:szCs w:val="30"/>
          <w:lang w:val="en-US" w:eastAsia="zh-CN"/>
        </w:rPr>
        <w:t xml:space="preserve">     0597-3151996</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永定区工业和信息化科技局    0597-5833216</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永定区住房和城乡建设局      0597-5832270</w:t>
      </w:r>
    </w:p>
    <w:p>
      <w:pPr>
        <w:widowControl w:val="0"/>
        <w:numPr>
          <w:ilvl w:val="0"/>
          <w:numId w:val="0"/>
        </w:numPr>
        <w:jc w:val="both"/>
        <w:rPr>
          <w:rFonts w:hint="default" w:asciiTheme="majorEastAsia" w:hAnsiTheme="majorEastAsia" w:eastAsiaTheme="majorEastAsia" w:cstheme="majorEastAsia"/>
          <w:sz w:val="30"/>
          <w:szCs w:val="30"/>
          <w:lang w:val="en-US" w:eastAsia="zh-CN"/>
        </w:rPr>
      </w:pPr>
      <w:r>
        <w:rPr>
          <w:rFonts w:hint="default" w:asciiTheme="majorEastAsia" w:hAnsiTheme="majorEastAsia" w:eastAsiaTheme="majorEastAsia" w:cstheme="majorEastAsia"/>
          <w:sz w:val="30"/>
          <w:szCs w:val="30"/>
          <w:lang w:val="en-US" w:eastAsia="zh-CN"/>
        </w:rPr>
        <w:t>永定区文化和旅游局</w:t>
      </w:r>
      <w:r>
        <w:rPr>
          <w:rFonts w:hint="eastAsia" w:asciiTheme="majorEastAsia" w:hAnsiTheme="majorEastAsia" w:eastAsiaTheme="majorEastAsia" w:cstheme="majorEastAsia"/>
          <w:sz w:val="30"/>
          <w:szCs w:val="30"/>
          <w:lang w:val="en-US" w:eastAsia="zh-CN"/>
        </w:rPr>
        <w:t xml:space="preserve">    0597-5833197</w:t>
      </w:r>
      <w:r>
        <w:rPr>
          <w:rFonts w:hint="default" w:asciiTheme="majorEastAsia" w:hAnsiTheme="majorEastAsia" w:eastAsiaTheme="majorEastAsia" w:cstheme="majorEastAsia"/>
          <w:sz w:val="30"/>
          <w:szCs w:val="30"/>
          <w:lang w:val="en-US" w:eastAsia="zh-CN"/>
        </w:rPr>
        <w:t xml:space="preserve">    </w:t>
      </w:r>
    </w:p>
    <w:p>
      <w:pPr>
        <w:widowControl w:val="0"/>
        <w:numPr>
          <w:ilvl w:val="0"/>
          <w:numId w:val="0"/>
        </w:numPr>
        <w:jc w:val="both"/>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永定区自然资源局     0597-5832018</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永定区生态环境局    0597-5832610</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永定区市场监督管理局    0597-3257312</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永定招商网址   </w:t>
      </w:r>
      <w:r>
        <w:rPr>
          <w:rFonts w:hint="eastAsia" w:asciiTheme="majorEastAsia" w:hAnsiTheme="majorEastAsia" w:eastAsiaTheme="majorEastAsia" w:cstheme="majorEastAsia"/>
          <w:sz w:val="30"/>
          <w:szCs w:val="30"/>
          <w:lang w:val="en-US" w:eastAsia="zh-CN"/>
        </w:rPr>
        <w:fldChar w:fldCharType="begin"/>
      </w:r>
      <w:r>
        <w:rPr>
          <w:rFonts w:hint="eastAsia" w:asciiTheme="majorEastAsia" w:hAnsiTheme="majorEastAsia" w:eastAsiaTheme="majorEastAsia" w:cstheme="majorEastAsia"/>
          <w:sz w:val="30"/>
          <w:szCs w:val="30"/>
          <w:lang w:val="en-US" w:eastAsia="zh-CN"/>
        </w:rPr>
        <w:instrText xml:space="preserve"> HYPERLINK "http://www.fjyd.gov.cn/zs/" </w:instrText>
      </w:r>
      <w:r>
        <w:rPr>
          <w:rFonts w:hint="eastAsia" w:asciiTheme="majorEastAsia" w:hAnsiTheme="majorEastAsia" w:eastAsiaTheme="majorEastAsia" w:cstheme="majorEastAsia"/>
          <w:sz w:val="30"/>
          <w:szCs w:val="30"/>
          <w:lang w:val="en-US" w:eastAsia="zh-CN"/>
        </w:rPr>
        <w:fldChar w:fldCharType="separate"/>
      </w:r>
      <w:r>
        <w:rPr>
          <w:rStyle w:val="3"/>
          <w:rFonts w:hint="eastAsia" w:asciiTheme="majorEastAsia" w:hAnsiTheme="majorEastAsia" w:eastAsiaTheme="majorEastAsia" w:cstheme="majorEastAsia"/>
          <w:sz w:val="30"/>
          <w:szCs w:val="30"/>
          <w:lang w:val="en-US" w:eastAsia="zh-CN"/>
        </w:rPr>
        <w:t>http://www.fjyd.gov.cn/zs/</w:t>
      </w:r>
      <w:r>
        <w:rPr>
          <w:rFonts w:hint="eastAsia" w:asciiTheme="majorEastAsia" w:hAnsiTheme="majorEastAsia" w:eastAsiaTheme="majorEastAsia" w:cstheme="majorEastAsia"/>
          <w:sz w:val="30"/>
          <w:szCs w:val="30"/>
          <w:lang w:val="en-US" w:eastAsia="zh-CN"/>
        </w:rPr>
        <w:fldChar w:fldCharType="end"/>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永定新闻网网址   http://www.fjydnews.com/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30"/>
          <w:szCs w:val="30"/>
          <w:lang w:val="en-US" w:eastAsia="zh-CN"/>
        </w:rPr>
      </w:pPr>
      <w:r>
        <w:drawing>
          <wp:inline distT="0" distB="0" distL="114300" distR="114300">
            <wp:extent cx="1219200" cy="121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19200" cy="1219200"/>
                    </a:xfrm>
                    <a:prstGeom prst="rect">
                      <a:avLst/>
                    </a:prstGeom>
                    <a:noFill/>
                    <a:ln>
                      <a:noFill/>
                    </a:ln>
                  </pic:spPr>
                </pic:pic>
              </a:graphicData>
            </a:graphic>
          </wp:inline>
        </w:drawing>
      </w:r>
    </w:p>
    <w:p>
      <w:pPr>
        <w:widowControl w:val="0"/>
        <w:numPr>
          <w:ilvl w:val="0"/>
          <w:numId w:val="0"/>
        </w:numPr>
        <w:ind w:firstLine="900" w:firstLineChars="300"/>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扫一扫，关注公众号</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发布单位：龙岩市永定区人民政府</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联系单位：龙岩市永定区商务局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联系电话：0597-5833068  5833982                     </w:t>
      </w:r>
    </w:p>
    <w:p>
      <w:pPr>
        <w:widowControl w:val="0"/>
        <w:numPr>
          <w:ilvl w:val="0"/>
          <w:numId w:val="0"/>
        </w:numPr>
        <w:jc w:val="both"/>
        <w:rPr>
          <w:rFonts w:hint="eastAsia" w:asciiTheme="majorEastAsia" w:hAnsiTheme="majorEastAsia" w:eastAsiaTheme="majorEastAsia" w:cstheme="majorEastAsia"/>
          <w:sz w:val="30"/>
          <w:szCs w:val="30"/>
          <w:lang w:val="en-US" w:eastAsia="zh-CN"/>
        </w:rPr>
      </w:pPr>
    </w:p>
    <w:p>
      <w:pPr>
        <w:widowControl w:val="0"/>
        <w:numPr>
          <w:ilvl w:val="0"/>
          <w:numId w:val="0"/>
        </w:numPr>
        <w:jc w:val="both"/>
        <w:rPr>
          <w:rFonts w:hint="default" w:asciiTheme="majorEastAsia" w:hAnsiTheme="majorEastAsia" w:eastAsiaTheme="majorEastAsia" w:cstheme="majorEastAsia"/>
          <w:sz w:val="30"/>
          <w:szCs w:val="30"/>
          <w:lang w:val="en-US" w:eastAsia="zh-CN"/>
        </w:rPr>
      </w:pPr>
    </w:p>
    <w:p>
      <w:pPr>
        <w:widowControl w:val="0"/>
        <w:numPr>
          <w:ilvl w:val="0"/>
          <w:numId w:val="0"/>
        </w:numPr>
        <w:jc w:val="both"/>
        <w:rPr>
          <w:rFonts w:hint="eastAsia" w:asciiTheme="majorEastAsia" w:hAnsiTheme="majorEastAsia" w:eastAsiaTheme="majorEastAsia" w:cstheme="major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C4A26"/>
    <w:multiLevelType w:val="singleLevel"/>
    <w:tmpl w:val="E33C4A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60576"/>
    <w:rsid w:val="13B60576"/>
    <w:rsid w:val="53A05751"/>
    <w:rsid w:val="68600BE1"/>
    <w:rsid w:val="72FC03DB"/>
    <w:rsid w:val="7C3C3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2019-03-14T00:50:00Z</dcterms:created>
  <dc:creator>Administrator</dc:creator>
  <cp:lastModifiedBy>hp</cp:lastModifiedBy>
  <dcterms:modified xsi:type="dcterms:W3CDTF">2020-02-25T07:17:29Z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