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</w:p>
    <w:tbl>
      <w:tblPr>
        <w:tblStyle w:val="2"/>
        <w:tblW w:w="89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960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pacing w:val="-6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pacing w:val="-6"/>
                <w:kern w:val="2"/>
                <w:sz w:val="40"/>
                <w:szCs w:val="40"/>
                <w:u w:val="none"/>
                <w:lang w:val="en-US" w:eastAsia="zh-CN" w:bidi="ar"/>
              </w:rPr>
              <w:t>2025年福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pacing w:val="-6"/>
                <w:kern w:val="2"/>
                <w:sz w:val="40"/>
                <w:szCs w:val="40"/>
                <w:u w:val="none"/>
                <w:lang w:val="en-US" w:eastAsia="zh-CN" w:bidi="ar"/>
              </w:rPr>
              <w:t>建省人工智能硬件优质产品拟入选名单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基于8纳米的高性能低功耗AIoT SoC芯片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瑞芯微电子股份有限公司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数据驱动的泛在型智能服务机器人（笨小宝S系列）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福建汉特云智能科技有限公司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NLS-FM430固定式条码扫描器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福建新大陆自动识别技术有限公司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智能显微算法摄像系统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福州鑫图光电有限公司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智慧锂电系统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漳州科华技术有限责任公司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星网天合EdgePad多功能智慧中控屏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福建星网天合智能科技有限公司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基于AI边缘计算的新型台区智能融合终端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福建睿思特科技股份有限公司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南威大模型推理机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南威软件股份有限公司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智能测量机器人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福建金创利信息科技发展股份有限公司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光伏电池片检测设备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福建帝视科技集团有限公司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万卫智慧登机门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厦门瑞为信息技术股份有限公司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高精准3D+AI检测设备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厦门微亚智能科技股份有限公司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多模态AI感知交互智慧会议平板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厦门亿联网络技术股份有限公司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智能靶场系统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厦门市巨龙软件工程有限公司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数字式心电图机（RAGE-12）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纳龙健康科技股份有限公司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200W-1300W系列AI算力电源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厦门科司特电子股份有限公司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寻知AI・智能体一体机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众数（厦门）信息科技有限公司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AI光学筛选机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厦门彼格科技有限公司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E00C4"/>
    <w:rsid w:val="708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2025-09-22T07:47:00Z</dcterms:created>
  <dc:creator>AOC</dc:creator>
  <cp:lastModifiedBy>AOC</cp:lastModifiedBy>
  <dcterms:modified xsi:type="dcterms:W3CDTF">2025-09-22T07:48:09Z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200AA8E2B5E645B98368A3D37780B805</vt:lpwstr>
  </property>
</Properties>
</file>