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shd w:val="clear" w:color="auto" w:fill="FFFFFF"/>
        <w:spacing w:before="0" w:beforeLines="0" w:beforeAutospacing="0" w:after="0" w:afterLines="0" w:afterAutospacing="0" w:line="600" w:lineRule="exact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</w:p>
    <w:p>
      <w:pPr>
        <w:pStyle w:val="6"/>
        <w:widowControl w:val="0"/>
        <w:shd w:val="clear" w:color="auto" w:fill="FFFFFF"/>
        <w:spacing w:before="0" w:beforeLines="0" w:beforeAutospacing="0" w:after="0" w:afterLines="0" w:afterAutospacing="0" w:line="600" w:lineRule="exact"/>
        <w:jc w:val="both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widowControl w:val="0"/>
        <w:wordWrap/>
        <w:adjustRightInd/>
        <w:snapToGrid/>
        <w:spacing w:before="0" w:beforeLines="0" w:after="0" w:afterLines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福建省工业和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信息化厅“</w:t>
      </w: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福建省202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年度企业负担状况调查及减负政策落实效果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第三方</w:t>
      </w: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评估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”项目采购报价单</w:t>
      </w:r>
    </w:p>
    <w:p>
      <w:pPr>
        <w:widowControl w:val="0"/>
        <w:wordWrap/>
        <w:adjustRightInd/>
        <w:snapToGrid/>
        <w:spacing w:before="0" w:beforeLines="0" w:after="0" w:afterLines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日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报价供应商：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  （盖章） 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</w:p>
    <w:tbl>
      <w:tblPr>
        <w:tblStyle w:val="5"/>
        <w:tblpPr w:leftFromText="180" w:rightFromText="180" w:vertAnchor="text" w:horzAnchor="page" w:tblpXSpec="center" w:tblpY="554"/>
        <w:tblOverlap w:val="never"/>
        <w:tblW w:w="81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729"/>
        <w:gridCol w:w="1209"/>
        <w:gridCol w:w="1004"/>
        <w:gridCol w:w="24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8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 xml:space="preserve">序号 </w:t>
            </w:r>
          </w:p>
        </w:tc>
        <w:tc>
          <w:tcPr>
            <w:tcW w:w="27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货物</w:t>
            </w:r>
          </w:p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 xml:space="preserve">名称 </w:t>
            </w:r>
          </w:p>
        </w:tc>
        <w:tc>
          <w:tcPr>
            <w:tcW w:w="12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 xml:space="preserve">需求数量 </w:t>
            </w:r>
          </w:p>
        </w:tc>
        <w:tc>
          <w:tcPr>
            <w:tcW w:w="10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 xml:space="preserve">单位 </w:t>
            </w:r>
          </w:p>
        </w:tc>
        <w:tc>
          <w:tcPr>
            <w:tcW w:w="24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总价</w:t>
            </w:r>
          </w:p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 xml:space="preserve">（元）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8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7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宋体"/>
                <w:kern w:val="0"/>
                <w:sz w:val="24"/>
                <w:szCs w:val="24"/>
                <w:lang w:eastAsia="zh-CN"/>
              </w:rPr>
              <w:t>福建</w:t>
            </w:r>
            <w:r>
              <w:rPr>
                <w:rFonts w:hint="default" w:ascii="宋体"/>
                <w:kern w:val="0"/>
                <w:sz w:val="24"/>
                <w:szCs w:val="24"/>
              </w:rPr>
              <w:t>省202</w:t>
            </w: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/>
                <w:kern w:val="0"/>
                <w:sz w:val="24"/>
                <w:szCs w:val="24"/>
              </w:rPr>
              <w:t>年度企业负担状况调查及减负政策落实效果第三方评估</w:t>
            </w: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”</w:t>
            </w:r>
          </w:p>
          <w:p>
            <w:pPr>
              <w:pStyle w:val="7"/>
              <w:rPr>
                <w:rFonts w:hint="eastAsia"/>
              </w:rPr>
            </w:pPr>
          </w:p>
        </w:tc>
        <w:tc>
          <w:tcPr>
            <w:tcW w:w="12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24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spacing w:line="580" w:lineRule="exac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备注：1、报价总价超过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20万</w:t>
      </w:r>
      <w:r>
        <w:rPr>
          <w:rFonts w:hint="eastAsia" w:ascii="宋体" w:hAnsi="宋体" w:cs="宋体"/>
          <w:color w:val="000000"/>
          <w:sz w:val="24"/>
          <w:szCs w:val="24"/>
        </w:rPr>
        <w:t>元的视为无效报价。</w:t>
      </w:r>
    </w:p>
    <w:p>
      <w:pPr>
        <w:spacing w:line="580" w:lineRule="exact"/>
        <w:ind w:firstLine="720" w:firstLineChars="300"/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cs="宋体"/>
          <w:color w:val="000000"/>
          <w:sz w:val="24"/>
          <w:szCs w:val="24"/>
        </w:rPr>
        <w:t>2、对应总价，提供对应分项报价表。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A3C4B"/>
    <w:rsid w:val="63CA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reader-word-layer reader-word-s3-3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2023-09-15T07:35:00Z</dcterms:created>
  <dc:creator>陈奇</dc:creator>
  <cp:lastModifiedBy>陈奇</cp:lastModifiedBy>
  <dcterms:modified xsi:type="dcterms:W3CDTF">2023-09-15T07:36:28Z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