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福建省工业和信息化厅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清理拖欠企业账款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台账资料核查服务项目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</w:t>
      </w:r>
      <w:r>
        <w:rPr>
          <w:rFonts w:hint="default" w:ascii="方正小标宋简体" w:hAnsi="方正小标宋简体" w:eastAsia="方正小标宋简体" w:cs="方正小标宋简体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 月    日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（盖章）                                            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4282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5" w:hRule="atLeast"/>
        </w:trPr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singl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428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u w:val="none"/>
                <w:vertAlign w:val="baseline"/>
                <w:lang w:eastAsia="zh-CN"/>
              </w:rPr>
              <w:t>总报价（单位：万元）</w:t>
            </w:r>
          </w:p>
        </w:tc>
        <w:tc>
          <w:tcPr>
            <w:tcW w:w="168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u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00" w:hRule="atLeast"/>
        </w:trPr>
        <w:tc>
          <w:tcPr>
            <w:tcW w:w="2982" w:type="dxa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color w:val="000000"/>
                <w:sz w:val="27"/>
                <w:szCs w:val="27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/>
              </w:rPr>
              <w:t>清理拖欠账款台账资料核查服务项目</w:t>
            </w:r>
          </w:p>
        </w:tc>
        <w:tc>
          <w:tcPr>
            <w:tcW w:w="4282" w:type="dxa"/>
            <w:vAlign w:val="top"/>
          </w:tcPr>
          <w:p>
            <w:pPr>
              <w:spacing w:line="580" w:lineRule="exact"/>
              <w:rPr>
                <w:rFonts w:hint="default" w:ascii="仿宋_GB2312" w:hAnsi="仿宋_GB2312" w:eastAsia="仿宋_GB2312" w:cs="仿宋_GB2312"/>
                <w:kern w:val="0"/>
                <w:sz w:val="27"/>
                <w:szCs w:val="27"/>
                <w:u w:val="none"/>
                <w:lang w:val="en-US" w:eastAsia="zh-CN"/>
              </w:rPr>
            </w:pPr>
          </w:p>
        </w:tc>
        <w:tc>
          <w:tcPr>
            <w:tcW w:w="1684" w:type="dxa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color w:val="000000"/>
                <w:sz w:val="27"/>
                <w:szCs w:val="27"/>
                <w:u w:val="single"/>
                <w:vertAlign w:val="baseline"/>
              </w:rPr>
            </w:pP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上述总价合计应包括所有货物以及相关税费等一切费用，总报价不得超过20万元，否则视为无效报价。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250D"/>
    <w:rsid w:val="7AFE250D"/>
    <w:rsid w:val="7B4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2026-03-18T01:55:00Z</dcterms:created>
  <dc:creator>刘</dc:creator>
  <cp:lastModifiedBy>刘</cp:lastModifiedBy>
  <dcterms:modified xsi:type="dcterms:W3CDTF">2026-03-18T01:56:30Z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