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A94C0">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14:paraId="12C4E0A2">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服务内容和要求</w:t>
      </w:r>
    </w:p>
    <w:p w14:paraId="3E310656">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sz w:val="32"/>
          <w:szCs w:val="32"/>
        </w:rPr>
      </w:pPr>
    </w:p>
    <w:p w14:paraId="3DC0971C">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一、服务供应商资格要求</w:t>
      </w:r>
    </w:p>
    <w:p w14:paraId="113478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符合《中华人民共和国政府采购法》第二十二条规定的条件，具体如下：</w:t>
      </w:r>
    </w:p>
    <w:p w14:paraId="1548AA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具有独立承担民事责任的能力；</w:t>
      </w:r>
    </w:p>
    <w:p w14:paraId="3A757F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w:t>
      </w:r>
    </w:p>
    <w:p w14:paraId="5DEBF1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具有履行合同所</w:t>
      </w:r>
      <w:r>
        <w:rPr>
          <w:rFonts w:hint="eastAsia" w:ascii="仿宋_GB2312" w:hAnsi="仿宋_GB2312" w:eastAsia="仿宋_GB2312" w:cs="仿宋_GB2312"/>
          <w:sz w:val="32"/>
          <w:szCs w:val="32"/>
          <w:lang w:val="en-US" w:eastAsia="zh-CN"/>
        </w:rPr>
        <w:t>必需</w:t>
      </w:r>
      <w:bookmarkStart w:id="0" w:name="_GoBack"/>
      <w:bookmarkEnd w:id="0"/>
      <w:r>
        <w:rPr>
          <w:rFonts w:hint="eastAsia" w:ascii="仿宋_GB2312" w:hAnsi="仿宋_GB2312" w:eastAsia="仿宋_GB2312" w:cs="仿宋_GB2312"/>
          <w:sz w:val="32"/>
          <w:szCs w:val="32"/>
        </w:rPr>
        <w:t>的设备和专业技术能力；</w:t>
      </w:r>
    </w:p>
    <w:p w14:paraId="55B8FA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具有依法缴纳税收和社会保障资金的良好记录；</w:t>
      </w:r>
    </w:p>
    <w:p w14:paraId="33224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参加本次政府采购活动前三年内，在经营活动中没有重大违法记录；</w:t>
      </w:r>
    </w:p>
    <w:p w14:paraId="37E6D4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法律、行政法规规定的其他条件</w:t>
      </w:r>
    </w:p>
    <w:p w14:paraId="699BFF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w:t>
      </w:r>
    </w:p>
    <w:p w14:paraId="10167E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本项目的特定资格要求</w:t>
      </w:r>
    </w:p>
    <w:p w14:paraId="62FE80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检测机构应为在中华人民共和国境内注册的独立法人机构，获得中国计量认证（CMA），取得相应资质证书，检测能力范围符合测试服务内容中各类设备在型号核准目录中所对应的检测能力相关标准的要求。</w:t>
      </w:r>
    </w:p>
    <w:p w14:paraId="651DAF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2.应为能够独立承担型号核准测试工作的检测机构，不可为相关代理商。为确保型号核准检测质量，承检机构检测资质不可共享或转让，承检机构应确保在履行政府购买服务合同周期内保持稳定。</w:t>
      </w:r>
    </w:p>
    <w:p w14:paraId="7F8C5F09">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二、服务内容及要求</w:t>
      </w:r>
    </w:p>
    <w:p w14:paraId="0D6550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公众移动通信基站及直放站</w:t>
      </w:r>
      <w:r>
        <w:rPr>
          <w:rFonts w:hint="eastAsia" w:ascii="仿宋_GB2312" w:hAnsi="仿宋_GB2312" w:eastAsia="仿宋_GB2312" w:cs="仿宋_GB2312"/>
          <w:b/>
          <w:bCs/>
          <w:sz w:val="32"/>
          <w:szCs w:val="32"/>
          <w:lang w:eastAsia="zh-CN"/>
        </w:rPr>
        <w:t>类设备</w:t>
      </w:r>
    </w:p>
    <w:p w14:paraId="1FFDE8C9">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（一）服务内容</w:t>
      </w:r>
    </w:p>
    <w:p w14:paraId="3A06E7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3CCF2F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6577C2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公众移动通信2G基站、3G基站、4G基站，不支持5G或NB-IoT或eMTC功能。</w:t>
      </w:r>
    </w:p>
    <w:p w14:paraId="25372D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公众移动通信5G基站或支持NB-IoT或支持eMTC功能的其他基站。</w:t>
      </w:r>
    </w:p>
    <w:p w14:paraId="33264A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公众移动通信直放站及附属设备，被测设备频段数量1-3个</w:t>
      </w:r>
    </w:p>
    <w:p w14:paraId="5F212C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公众移动通信直放站及附属设备，被测设备频段数量3个以上。</w:t>
      </w:r>
    </w:p>
    <w:p w14:paraId="467133AD">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（二）资质判定标准</w:t>
      </w:r>
    </w:p>
    <w:p w14:paraId="2F5B92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583C0E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公众移动通信终端</w:t>
      </w:r>
      <w:r>
        <w:rPr>
          <w:rFonts w:hint="eastAsia" w:ascii="仿宋_GB2312" w:hAnsi="仿宋_GB2312" w:eastAsia="仿宋_GB2312" w:cs="仿宋_GB2312"/>
          <w:b/>
          <w:bCs/>
          <w:sz w:val="32"/>
          <w:szCs w:val="32"/>
          <w:lang w:eastAsia="zh-CN"/>
        </w:rPr>
        <w:t>类设备</w:t>
      </w:r>
    </w:p>
    <w:p w14:paraId="1A2095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14:paraId="597298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662EE3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3885C9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众移动通信终端（支持2G终端、3G终端、4G终端、5G终端、NB-IoT终端、eMTC终端其一或多者组合）、公众移动通信终端（支持2G终端、3G终端、4G终端、5G终端、NB-IoT终端、eMTC终端其一或多者组合）及无线局域网/蓝牙部分（包含任意频段无线局域网及蓝牙设备组合），包含以下三类：</w:t>
      </w:r>
    </w:p>
    <w:p w14:paraId="0C25D5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测试频段数1至7个；</w:t>
      </w:r>
    </w:p>
    <w:p w14:paraId="14A6C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测试频段数8至14个；</w:t>
      </w:r>
    </w:p>
    <w:p w14:paraId="36F1EC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测试频段数14个以上的。</w:t>
      </w:r>
    </w:p>
    <w:p w14:paraId="59456F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公众移动通信终端（4G终端（可支持2G终端、3G终端其一或多者组合）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G终端（可支持2G终端、3G终端其一或多者组合）及无线局域网/蓝牙部分（包含任意频段无线局域网及蓝牙设备组合）、5G终端（可支持2G终端、3G终端、4G终端其一或多者组合）、5G终端（可支持2G终端、3G终端、4G终端其一或多者组合）及无线局域网/蓝牙部分（包含任意频段无线局域网及蓝牙设备组合）），包含以下三类：</w:t>
      </w:r>
    </w:p>
    <w:p w14:paraId="5CC68A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测试频段数1至7个；</w:t>
      </w:r>
    </w:p>
    <w:p w14:paraId="2C5A0E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测试频段数8至14个；</w:t>
      </w:r>
    </w:p>
    <w:p w14:paraId="51875C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测试频段数14个以上的。</w:t>
      </w:r>
    </w:p>
    <w:p w14:paraId="6F409061">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（二）资质判定标准</w:t>
      </w:r>
    </w:p>
    <w:p w14:paraId="301151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6BA1B0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融合类设备</w:t>
      </w:r>
    </w:p>
    <w:p w14:paraId="18385B17">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（一）服务内容</w:t>
      </w:r>
    </w:p>
    <w:p w14:paraId="4097D6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53DE1F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4B4B0E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集群/对讲类设备；</w:t>
      </w:r>
    </w:p>
    <w:p w14:paraId="410405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行业专用无线电设备；</w:t>
      </w:r>
    </w:p>
    <w:p w14:paraId="735D59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业余无线电设备；</w:t>
      </w:r>
    </w:p>
    <w:p w14:paraId="204AC4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无线接入设备。</w:t>
      </w:r>
    </w:p>
    <w:p w14:paraId="358DAD89">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（二）资质判定标准</w:t>
      </w:r>
    </w:p>
    <w:p w14:paraId="6B4B98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580E198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无线局域网设备</w:t>
      </w:r>
    </w:p>
    <w:p w14:paraId="17FA354C">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（一）服务内容</w:t>
      </w:r>
    </w:p>
    <w:p w14:paraId="44C9A5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3FFEF1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6AD02BE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2.4GHz/5.1GHz/5.8GHz无线局域网设备及蓝牙设备（包括两者或两者以上的组合）</w:t>
      </w:r>
    </w:p>
    <w:p w14:paraId="029709A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2.4GHz/5.1GHz/5.8GHz无线局域网</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蓝牙设备（</w:t>
      </w:r>
      <w:r>
        <w:rPr>
          <w:rFonts w:hint="eastAsia" w:ascii="仿宋_GB2312" w:hAnsi="仿宋_GB2312" w:eastAsia="仿宋_GB2312" w:cs="仿宋_GB2312"/>
          <w:sz w:val="32"/>
          <w:szCs w:val="32"/>
          <w:lang w:eastAsia="zh-CN"/>
        </w:rPr>
        <w:t>仅包含其中一者</w:t>
      </w:r>
      <w:r>
        <w:rPr>
          <w:rFonts w:hint="eastAsia" w:ascii="仿宋_GB2312" w:hAnsi="仿宋_GB2312" w:eastAsia="仿宋_GB2312" w:cs="仿宋_GB2312"/>
          <w:sz w:val="32"/>
          <w:szCs w:val="32"/>
        </w:rPr>
        <w:t>）</w:t>
      </w:r>
    </w:p>
    <w:p w14:paraId="4EBBFE5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outlineLvl w:val="9"/>
        <w:rPr>
          <w:rFonts w:hint="eastAsia"/>
        </w:rPr>
      </w:pPr>
      <w:r>
        <w:rPr>
          <w:rFonts w:hint="eastAsia" w:ascii="仿宋_GB2312" w:hAnsi="仿宋_GB2312" w:eastAsia="仿宋_GB2312" w:cs="仿宋_GB2312"/>
          <w:sz w:val="32"/>
          <w:szCs w:val="32"/>
        </w:rPr>
        <w:t>蓝牙设备（包括单一</w:t>
      </w:r>
      <w:r>
        <w:rPr>
          <w:rFonts w:hint="eastAsia" w:ascii="仿宋_GB2312" w:hAnsi="仿宋_GB2312" w:eastAsia="仿宋_GB2312" w:cs="仿宋_GB2312"/>
          <w:sz w:val="32"/>
          <w:szCs w:val="32"/>
          <w:lang w:eastAsia="zh-CN"/>
        </w:rPr>
        <w:t>制式</w:t>
      </w:r>
      <w:r>
        <w:rPr>
          <w:rFonts w:hint="eastAsia" w:ascii="仿宋_GB2312" w:hAnsi="仿宋_GB2312" w:eastAsia="仿宋_GB2312" w:cs="仿宋_GB2312"/>
          <w:sz w:val="32"/>
          <w:szCs w:val="32"/>
        </w:rPr>
        <w:t>）</w:t>
      </w:r>
    </w:p>
    <w:p w14:paraId="54A2FC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（二）资质判定标准</w:t>
      </w:r>
    </w:p>
    <w:p w14:paraId="021518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217D138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证后监督检查服务</w:t>
      </w:r>
    </w:p>
    <w:p w14:paraId="75E88E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14:paraId="631E96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按照要求的检测期限，在样品收妥且具备符合规定的测试条件起按采购人提出的测试周期要求提交检测报告及汇总分析报告。</w:t>
      </w:r>
    </w:p>
    <w:p w14:paraId="69C6A4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测试服务内容包括以下八类无线电发射设备：</w:t>
      </w:r>
    </w:p>
    <w:p w14:paraId="5DB490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广播雷达设备</w:t>
      </w:r>
      <w:r>
        <w:rPr>
          <w:rFonts w:hint="eastAsia" w:ascii="仿宋_GB2312" w:hAnsi="仿宋_GB2312" w:eastAsia="仿宋_GB2312" w:cs="仿宋_GB2312"/>
          <w:sz w:val="32"/>
          <w:szCs w:val="32"/>
          <w:lang w:eastAsia="zh-CN"/>
        </w:rPr>
        <w:t>；</w:t>
      </w:r>
    </w:p>
    <w:p w14:paraId="2AE1C8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集群终端及基站设备</w:t>
      </w:r>
      <w:r>
        <w:rPr>
          <w:rFonts w:hint="eastAsia" w:ascii="仿宋_GB2312" w:hAnsi="仿宋_GB2312" w:eastAsia="仿宋_GB2312" w:cs="仿宋_GB2312"/>
          <w:sz w:val="32"/>
          <w:szCs w:val="32"/>
          <w:lang w:eastAsia="zh-CN"/>
        </w:rPr>
        <w:t>；</w:t>
      </w:r>
    </w:p>
    <w:p w14:paraId="585BE2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公众移动通信设备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87084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对讲机</w:t>
      </w:r>
      <w:r>
        <w:rPr>
          <w:rFonts w:hint="eastAsia" w:ascii="仿宋_GB2312" w:hAnsi="仿宋_GB2312" w:eastAsia="仿宋_GB2312" w:cs="仿宋_GB2312"/>
          <w:sz w:val="32"/>
          <w:szCs w:val="32"/>
          <w:lang w:eastAsia="zh-CN"/>
        </w:rPr>
        <w:t>；</w:t>
      </w:r>
    </w:p>
    <w:p w14:paraId="47CBB6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2G/3G/4G/5G/NB-IoT/eMTC功能的基站</w:t>
      </w:r>
      <w:r>
        <w:rPr>
          <w:rFonts w:hint="eastAsia" w:ascii="仿宋_GB2312" w:hAnsi="仿宋_GB2312" w:eastAsia="仿宋_GB2312" w:cs="仿宋_GB2312"/>
          <w:sz w:val="32"/>
          <w:szCs w:val="32"/>
          <w:lang w:eastAsia="zh-CN"/>
        </w:rPr>
        <w:t>；</w:t>
      </w:r>
    </w:p>
    <w:p w14:paraId="18CDF68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蓝牙设备</w:t>
      </w:r>
      <w:r>
        <w:rPr>
          <w:rFonts w:hint="eastAsia" w:ascii="仿宋_GB2312" w:hAnsi="仿宋_GB2312" w:eastAsia="仿宋_GB2312" w:cs="仿宋_GB2312"/>
          <w:sz w:val="32"/>
          <w:szCs w:val="32"/>
          <w:lang w:eastAsia="zh-CN"/>
        </w:rPr>
        <w:t>；</w:t>
      </w:r>
    </w:p>
    <w:p w14:paraId="469A7F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无线局域网设备（含蓝牙）</w:t>
      </w:r>
      <w:r>
        <w:rPr>
          <w:rFonts w:hint="eastAsia" w:ascii="仿宋_GB2312" w:hAnsi="仿宋_GB2312" w:eastAsia="仿宋_GB2312" w:cs="仿宋_GB2312"/>
          <w:sz w:val="32"/>
          <w:szCs w:val="32"/>
          <w:lang w:eastAsia="zh-CN"/>
        </w:rPr>
        <w:t>；</w:t>
      </w:r>
    </w:p>
    <w:p w14:paraId="40BA1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微功率设备：无需供应商报价，相关测试等技术支撑服务须免费提供。</w:t>
      </w:r>
    </w:p>
    <w:p w14:paraId="48883A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（二）资质判定标准</w:t>
      </w:r>
    </w:p>
    <w:p w14:paraId="7F178D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A3076"/>
    <w:multiLevelType w:val="singleLevel"/>
    <w:tmpl w:val="04EA3076"/>
    <w:lvl w:ilvl="0" w:tentative="0">
      <w:start w:val="1"/>
      <w:numFmt w:val="decimal"/>
      <w:suff w:val="space"/>
      <w:lvlText w:val="%1."/>
      <w:lvlJc w:val="left"/>
      <w:pPr>
        <w:ind w:left="-10"/>
      </w:pPr>
      <w:rPr>
        <w:rFonts w:hint="default"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F0772"/>
    <w:rsid w:val="004131F2"/>
    <w:rsid w:val="0BFB508B"/>
    <w:rsid w:val="20255C28"/>
    <w:rsid w:val="38C034B5"/>
    <w:rsid w:val="412F5DD8"/>
    <w:rsid w:val="52222971"/>
    <w:rsid w:val="56E93015"/>
    <w:rsid w:val="5A612159"/>
    <w:rsid w:val="64AF0772"/>
    <w:rsid w:val="6C386E53"/>
    <w:rsid w:val="767C3B40"/>
    <w:rsid w:val="7C3B1066"/>
    <w:rsid w:val="7D4B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tabs>
        <w:tab w:val="left" w:pos="567"/>
      </w:tabs>
      <w:spacing w:before="0" w:after="120" w:line="240" w:lineRule="auto"/>
      <w:ind w:firstLine="420" w:firstLineChars="100"/>
    </w:pPr>
    <w:rPr>
      <w:sz w:val="34"/>
      <w:lang w:val="zh-CN"/>
    </w:rPr>
  </w:style>
  <w:style w:type="paragraph" w:styleId="3">
    <w:name w:val="Body Text"/>
    <w:basedOn w:val="1"/>
    <w:next w:val="1"/>
    <w:qFormat/>
    <w:uiPriority w:val="99"/>
    <w:pPr>
      <w:widowControl w:val="0"/>
      <w:tabs>
        <w:tab w:val="left" w:pos="567"/>
      </w:tabs>
      <w:kinsoku/>
      <w:autoSpaceDE/>
      <w:autoSpaceDN/>
      <w:adjustRightInd/>
      <w:snapToGrid/>
      <w:spacing w:before="120" w:line="22" w:lineRule="atLeast"/>
      <w:jc w:val="both"/>
      <w:textAlignment w:val="auto"/>
    </w:pPr>
    <w:rPr>
      <w:rFonts w:ascii="宋体" w:hAnsi="宋体" w:eastAsia="宋体"/>
      <w:snapToGrid/>
      <w:color w:val="auto"/>
      <w:sz w:val="24"/>
      <w:szCs w:val="20"/>
    </w:rPr>
  </w:style>
  <w:style w:type="paragraph" w:customStyle="1" w:styleId="6">
    <w:name w:val="正文首行缩进两字符"/>
    <w:basedOn w:val="1"/>
    <w:qFormat/>
    <w:uiPriority w:val="0"/>
    <w:pPr>
      <w:spacing w:line="360" w:lineRule="auto"/>
      <w:ind w:firstLine="200" w:firstLineChars="200"/>
    </w:p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1849</Words>
  <Characters>2008</Characters>
  <Lines>0</Lines>
  <Paragraphs>0</Paragraphs>
  <TotalTime>1</TotalTime>
  <ScaleCrop>false</ScaleCrop>
  <LinksUpToDate>false</LinksUpToDate>
  <CharactersWithSpaces>2030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2024-04-03T01:17:00Z</dcterms:created>
  <dc:creator>高兆光</dc:creator>
  <cp:lastModifiedBy>彩虹</cp:lastModifiedBy>
  <dcterms:modified xsi:type="dcterms:W3CDTF">2026-01-27T07:03:02Z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97F2EAFC0634429B8E1C916E0057AD7A</vt:lpwstr>
  </property>
  <property fmtid="{D5CDD505-2E9C-101B-9397-08002B2CF9AE}" pid="4" name="KSOTemplateDocerSaveRecord">
    <vt:lpwstr>eyJoZGlkIjoiOWU3MDBhYWMzODM2Y2Y3NTIwNjUxZDkwMTJmNTM5YTAiLCJ1c2VySWQiOiIxMDQ0MjkxMTYxIn0=</vt:lpwstr>
  </property>
</Properties>
</file>