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cs="Times New Roman"/>
          <w:b/>
          <w:bCs/>
          <w:kern w:val="0"/>
          <w:sz w:val="28"/>
          <w:szCs w:val="28"/>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line="560" w:lineRule="exact"/>
        <w:ind w:firstLine="880" w:firstLineChars="2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福建省移动</w:t>
      </w:r>
      <w:r>
        <w:rPr>
          <w:rFonts w:hint="eastAsia" w:ascii="Times New Roman" w:hAnsi="Times New Roman" w:eastAsia="方正小标宋简体" w:cs="Times New Roman"/>
          <w:sz w:val="44"/>
          <w:szCs w:val="44"/>
          <w:lang w:val="en-US" w:eastAsia="zh-CN"/>
        </w:rPr>
        <w:t>无线电</w:t>
      </w:r>
      <w:r>
        <w:rPr>
          <w:rFonts w:hint="default" w:ascii="Times New Roman" w:hAnsi="Times New Roman" w:eastAsia="方正小标宋简体" w:cs="Times New Roman"/>
          <w:sz w:val="44"/>
          <w:szCs w:val="44"/>
        </w:rPr>
        <w:t>监测平台升级项目技术要求</w:t>
      </w:r>
    </w:p>
    <w:p>
      <w:pPr>
        <w:spacing w:line="560" w:lineRule="exact"/>
        <w:ind w:firstLine="880" w:firstLineChars="200"/>
        <w:jc w:val="center"/>
        <w:rPr>
          <w:rFonts w:hint="default" w:ascii="Times New Roman" w:hAnsi="Times New Roman" w:eastAsia="方正小标宋简体" w:cs="Times New Roman"/>
          <w:sz w:val="44"/>
          <w:szCs w:val="44"/>
        </w:rPr>
      </w:pPr>
    </w:p>
    <w:p>
      <w:pPr>
        <w:pStyle w:val="7"/>
        <w:widowControl/>
        <w:spacing w:beforeAutospacing="0" w:afterAutospacing="0" w:line="560" w:lineRule="exact"/>
        <w:ind w:firstLine="640" w:firstLineChars="200"/>
        <w:rPr>
          <w:rStyle w:val="10"/>
          <w:rFonts w:hint="default" w:ascii="Times New Roman" w:hAnsi="Times New Roman" w:eastAsia="仿宋_GB2312" w:cs="Times New Roman"/>
          <w:sz w:val="32"/>
          <w:szCs w:val="32"/>
        </w:rPr>
      </w:pPr>
      <w:r>
        <w:rPr>
          <w:rFonts w:hint="default" w:eastAsia="黑体" w:asciiTheme="minorAscii" w:hAnsiTheme="minorAscii" w:cstheme="minorBidi"/>
          <w:kern w:val="44"/>
          <w:sz w:val="32"/>
          <w:szCs w:val="24"/>
        </w:rPr>
        <w:t>一、</w:t>
      </w:r>
      <w:r>
        <w:rPr>
          <w:rFonts w:hint="eastAsia" w:eastAsia="黑体" w:asciiTheme="minorAscii" w:hAnsiTheme="minorAscii" w:cstheme="minorBidi"/>
          <w:kern w:val="44"/>
          <w:sz w:val="32"/>
          <w:szCs w:val="24"/>
          <w:lang w:val="en-US" w:eastAsia="zh-CN"/>
        </w:rPr>
        <w:t>建设内容</w:t>
      </w:r>
    </w:p>
    <w:p>
      <w:pPr>
        <w:pStyle w:val="7"/>
        <w:widowControl/>
        <w:spacing w:beforeAutospacing="0" w:afterAutospacing="0"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对现有的1辆移动无线电监测站（车辆底盘为</w:t>
      </w:r>
      <w:r>
        <w:rPr>
          <w:rFonts w:hint="default" w:ascii="Times New Roman" w:hAnsi="Times New Roman" w:eastAsia="仿宋_GB2312" w:cs="Times New Roman"/>
          <w:sz w:val="32"/>
          <w:szCs w:val="32"/>
          <w:lang w:eastAsia="zh-CN"/>
        </w:rPr>
        <w:t>丰田霸道</w:t>
      </w:r>
      <w:r>
        <w:rPr>
          <w:rFonts w:hint="default" w:ascii="Times New Roman" w:hAnsi="Times New Roman" w:eastAsia="仿宋_GB2312" w:cs="Times New Roman"/>
          <w:sz w:val="32"/>
          <w:szCs w:val="32"/>
        </w:rPr>
        <w:t>）进行更新，通过新购承载底盘，并基于原有设备重新改装，以满足日常无线电机动监管工作需要。</w:t>
      </w:r>
    </w:p>
    <w:p>
      <w:pPr>
        <w:pStyle w:val="7"/>
        <w:widowControl/>
        <w:spacing w:beforeAutospacing="0" w:afterAutospacing="0" w:line="560" w:lineRule="exact"/>
        <w:ind w:firstLine="640" w:firstLineChars="200"/>
        <w:jc w:val="left"/>
        <w:rPr>
          <w:rFonts w:hint="default" w:eastAsia="黑体" w:asciiTheme="minorAscii" w:hAnsiTheme="minorAscii" w:cstheme="minorBidi"/>
          <w:kern w:val="44"/>
          <w:sz w:val="32"/>
          <w:szCs w:val="24"/>
        </w:rPr>
      </w:pPr>
      <w:r>
        <w:rPr>
          <w:rFonts w:hint="default" w:eastAsia="黑体" w:asciiTheme="minorAscii" w:hAnsiTheme="minorAscii" w:cstheme="minorBidi"/>
          <w:kern w:val="44"/>
          <w:sz w:val="32"/>
          <w:szCs w:val="24"/>
        </w:rPr>
        <w:t>二、评分方法</w:t>
      </w:r>
    </w:p>
    <w:p>
      <w:pPr>
        <w:pStyle w:val="7"/>
        <w:widowControl/>
        <w:spacing w:beforeAutospacing="0" w:afterAutospacing="0"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本项目采用最低价中标法，在满足“三、技术内容及响应要求”、“四、商务要求”、“五、</w:t>
      </w:r>
      <w:r>
        <w:rPr>
          <w:rFonts w:hint="eastAsia" w:ascii="Times New Roman" w:hAnsi="Times New Roman" w:eastAsia="仿宋_GB2312" w:cs="Times New Roman"/>
          <w:sz w:val="32"/>
          <w:szCs w:val="32"/>
          <w:lang w:val="en-US" w:eastAsia="zh-CN"/>
        </w:rPr>
        <w:t>其他要求</w:t>
      </w:r>
      <w:r>
        <w:rPr>
          <w:rFonts w:hint="default" w:ascii="Times New Roman" w:hAnsi="Times New Roman" w:eastAsia="仿宋_GB2312" w:cs="Times New Roman"/>
          <w:sz w:val="32"/>
          <w:szCs w:val="32"/>
        </w:rPr>
        <w:t>”中所有要求的供应商中，选取报价最低的供应商作为中标候选人；若出现两家及以上满足要求且报价相同的最低价供应商，则根据材料中业绩案例数量较多的确定为中标候选人，业绩案例数量相同时以业绩案例总金额较大的确定为</w:t>
      </w:r>
      <w:r>
        <w:rPr>
          <w:rFonts w:hint="eastAsia"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，若业绩数量、金额均相同则随机抽取</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w:t>
      </w:r>
    </w:p>
    <w:p>
      <w:pPr>
        <w:pStyle w:val="7"/>
        <w:widowControl/>
        <w:spacing w:beforeAutospacing="0" w:afterAutospacing="0" w:line="560" w:lineRule="exact"/>
        <w:ind w:firstLine="640" w:firstLineChars="200"/>
        <w:rPr>
          <w:rFonts w:hint="default" w:eastAsia="黑体" w:asciiTheme="minorAscii" w:hAnsiTheme="minorAscii" w:cstheme="minorBidi"/>
          <w:kern w:val="44"/>
          <w:sz w:val="32"/>
          <w:szCs w:val="24"/>
        </w:rPr>
      </w:pPr>
      <w:r>
        <w:rPr>
          <w:rFonts w:hint="eastAsia" w:eastAsia="黑体" w:asciiTheme="minorAscii" w:hAnsiTheme="minorAscii" w:cstheme="minorBidi"/>
          <w:kern w:val="44"/>
          <w:sz w:val="32"/>
          <w:szCs w:val="24"/>
          <w:lang w:val="en-US" w:eastAsia="zh-CN"/>
        </w:rPr>
        <w:t>三、</w:t>
      </w:r>
      <w:r>
        <w:rPr>
          <w:rFonts w:hint="default" w:eastAsia="黑体" w:asciiTheme="minorAscii" w:hAnsiTheme="minorAscii" w:cstheme="minorBidi"/>
          <w:kern w:val="44"/>
          <w:sz w:val="32"/>
          <w:szCs w:val="24"/>
        </w:rPr>
        <w:t>技术和服务要求</w:t>
      </w:r>
    </w:p>
    <w:p>
      <w:pPr>
        <w:pStyle w:val="7"/>
        <w:widowControl/>
        <w:spacing w:beforeAutospacing="0" w:afterAutospacing="0" w:line="560" w:lineRule="exact"/>
        <w:ind w:firstLine="643" w:firstLineChars="200"/>
        <w:rPr>
          <w:rStyle w:val="10"/>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rPr>
        <w:t>1、总体要求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（1）车辆集成要求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1）车载集成总体要求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车辆集成过程应符合国家相关标准和交通管理部门有关要求，应遵循如下文件或标准：QC/T 934-2012《无线电监测车技术条件》、GB 7258-2017《机动车运行安全技术条件》、GA802-2014《机动车类型、术语和定义》、GB1589-2016《汽车、挂车及汽车列车外廓尺寸、轴荷及质量限值》。</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2）通用要求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一般要求：经集成后的装载平台，使用性能不能降低原车辆/底盘的要求。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制动：沿坡度为25°的坡路上下行驶时，应能有效地实施制动。停车制动应能在20°的上坡和下坡的坚实路面上有效地保持。</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侧坡操作：在坡度为10°的侧坡上应能操作和行驶，不出现停车、滑车或翻车等危险。</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涉水：应具有良好的涉水能力，车下部的零部件应密封良好，不致因正常的涉水而灌入水或泥沙，造成损坏或永久性的影响。</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车厢密封：门、窗关闭的条件下，应能承受与铅垂线成45°降雨量为5mm/min-7mm/min持续时间为1h的淋雨，车内和车壁内部不应该有渗水和漏水，驾驶室、工作室、接口窗及各孔口等处不应有漏水现象。</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车辆布线：强弱电布线、仪器设备安装便于维护，同时要充分考虑电磁兼容，布线要用线槽方式，保证屏蔽效果和便于检修。</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车辆集成后保证不低于原汽车的各项规定性能指标。</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天线、设备等备件的储纳收藏巧妙合理规范。</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3）安全性</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移动监测车应具备安全及保护措施，保证乘员的安全；凡危险部位均应加防护和隔离装置，并有明显的标志；使用环保安全材料，以减少对人体的伤害。</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车辆在停止状态下使用时应具有良好的接地。</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（2）集成性能要求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集成须遵循以下原则：</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1）集成部分结构及与车架连接的合理性保持不变。</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2）集成后质量分配的合理性、左右承载的均匀性符合底盘轴载要求。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3）集成后，整车总质量不得超过允许的最大总质量，轴载质量不超过允许的最大轴载质量。</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4）采用合理的配重和减震，集成后的车辆保持原有的动力性和全面的安全舒适性。</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5）重心位置应尽可能低，但必须留有车轮弹跳高度所需的空间。</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6）集成后车辆外形尺寸不得超过限值，车辆后悬不得超过标准限值。</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7）集成后的车辆应保证原底盘的维修、保养方便性。</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8）集成后的车辆满足国家现行法规要求。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9）所有操作</w:t>
      </w:r>
      <w:r>
        <w:rPr>
          <w:rStyle w:val="10"/>
          <w:rFonts w:hint="eastAsia" w:ascii="Times New Roman" w:hAnsi="Times New Roman" w:eastAsia="仿宋_GB2312" w:cs="Times New Roman"/>
          <w:b w:val="0"/>
          <w:bCs/>
          <w:sz w:val="32"/>
          <w:szCs w:val="32"/>
          <w:lang w:val="en-US" w:eastAsia="zh-CN"/>
        </w:rPr>
        <w:t>均</w:t>
      </w:r>
      <w:r>
        <w:rPr>
          <w:rStyle w:val="10"/>
          <w:rFonts w:hint="default" w:ascii="Times New Roman" w:hAnsi="Times New Roman" w:eastAsia="仿宋_GB2312" w:cs="Times New Roman"/>
          <w:b w:val="0"/>
          <w:bCs/>
          <w:sz w:val="32"/>
          <w:szCs w:val="32"/>
        </w:rPr>
        <w:t>应在设备或单元面板前面进行。</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（3）电磁兼容要求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辆集成及车内设备布局充分考虑电磁屏蔽。电磁兼容是指设备或系统在其电磁环境中能正常工作且不对该环境中任何事物构成不能承受的电磁骚扰的能力。移动监测车内设备种类繁多，且车内空间狭小，设备布局紧密；各种电源设备、无线设备、网络通信设备集成在狭小的空间内，系统间的电磁干扰和兼容问题就变得尖锐复杂，因此在进行车辆集成时必须做好电磁兼容设计，确保系统工作的正常性和稳定性。它包括电磁干扰和抗电磁干扰两个方面。</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1）电磁兼容性设计</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车辆电磁兼容性设计参照《军用通信车通用规范》（GJB 2198-2005）有关规定执行。抑制电磁干扰的所有措施不能危及人身、车内设备和汽车底盘的安全，不能影响通信系统的正常功能。</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2）布局要求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天线之间的隔离度应符合相关设备的要求。车内设备布局应满足以下要求：在保证载荷分布合理的情况下，应将设备之间的相互干扰控制在允许的范围内，强辐射设备与敏感设备应相互远离，敏感设备的安装应避开车厢的门、窗和孔口。</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3）导线、电缆的选用要求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选用导线、电缆时应根据传输信号的功率电平、频率范围和车内电磁环境等要求来确定；与高频信号或宽带阻抗匹配时，应依据频率高低和功率大小选用相应的同轴电缆；车内有较强辐射源时，传输低频信号的线缆应选用屏蔽双绞线，其纽绞次数不低于23次/m；干扰强的电源线应选用屏蔽电缆；外部电源线线缆需要时应采取必要的屏蔽措施。</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4）滤波</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电源输入端应有抑制共模干扰和差模干扰的滤波器；当车内电磁环境较复杂时，开关电源分配组各设备的直流供电输出口应有电源滤波器；信号输入输出口应有模拟或数字信号滤波器。</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（4）电气布线要求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1）一般要求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导线和电缆一般应布设在走线钢带或走线槽内，必要处应加保护措施，避免与粗糙及不规则的表面和金属边角接触。导线和电缆的长度应留有适当的余量，以便操作和维修。布线中并行的导线除有明确规定外不允许绞合。所有机柜在工厂中作好内部连线，内部电缆和连接头种类包括信号、监控、遥控、电源分配等等。若分系统按N+1保护方式配置，但初始不是所有单元都装到架子上，也要配齐所有单元的电缆和连接头。</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2）电源系统</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电源系统的环路电阻应符合相关标准的要求；在温度为15℃～35℃，相对湿度为45%～75%的情况下，电源线之间及电源线对地之间的绝缘电阻应不小于100MΩ。</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3）信号系统</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信号线的环路电阻应不大于3Ω；在温度为15℃～35℃，相对湿度为45%～75%的情况下，信号线间、车载天线与车皮间的绝缘电阻应不小于100MΩ；信号系统的导线、电缆和接插件应能承受直流电压500V（门限电流1mA)在30秒时间内不击穿；音频信号线之间的串音衰减，在实验频率为800Hz时应不小于78dB；车内各设备接地线与车体应保持良好接触，设备接地端到车体间电阻应不大于0.02Ω。</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4）接口要求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车载平台内部设备接口（或光接口）应符合有关标准规定，并满足车内各设备之间互连的接口要求；移动监测车应具有对外互连接口，接口种类根据实际需求可包括视音频接口、有线电话接口、数据接口等。</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（5）装车设备要求</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设备确认：装车设备必须符合国家法律法规和国家无线电主管部门的有关规定，具有设备承制单位的合格证明。</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设备安全性：装车设备的安全性要求应符合《无线电管理特种车及装备配置技术要求》的有关规定，保证对人员不造成伤害，对其他设备的正常工作不产生影响。</w:t>
      </w:r>
    </w:p>
    <w:p>
      <w:pPr>
        <w:pStyle w:val="7"/>
        <w:widowControl/>
        <w:spacing w:before="0" w:beforeAutospacing="0" w:after="0" w:afterAutospacing="0" w:line="560" w:lineRule="exact"/>
        <w:ind w:firstLine="640" w:firstLineChars="200"/>
        <w:rPr>
          <w:rStyle w:val="10"/>
          <w:rFonts w:hint="default" w:ascii="Times New Roman" w:hAnsi="Times New Roman" w:eastAsia="仿宋_GB2312" w:cs="Times New Roman"/>
          <w:b w:val="0"/>
          <w:bCs/>
          <w:sz w:val="32"/>
          <w:szCs w:val="32"/>
        </w:rPr>
      </w:pPr>
      <w:r>
        <w:rPr>
          <w:rStyle w:val="10"/>
          <w:rFonts w:hint="default" w:ascii="Times New Roman" w:hAnsi="Times New Roman" w:eastAsia="仿宋_GB2312" w:cs="Times New Roman"/>
          <w:b w:val="0"/>
          <w:bCs/>
          <w:sz w:val="32"/>
          <w:szCs w:val="32"/>
        </w:rPr>
        <w:t>设备保障性：装车设备应提供设备使用说明书、技术说明书和维修手册等技术资料；提供必要的备件、附件；需要包装的设备和备件的包装应合理，并能满足规定的运输要求。</w:t>
      </w:r>
    </w:p>
    <w:p>
      <w:pPr>
        <w:pStyle w:val="7"/>
        <w:widowControl/>
        <w:spacing w:beforeAutospacing="0" w:afterAutospacing="0" w:line="560" w:lineRule="exact"/>
        <w:ind w:firstLine="643" w:firstLineChars="200"/>
        <w:rPr>
          <w:rStyle w:val="10"/>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rPr>
        <w:t>2、系统配置</w:t>
      </w:r>
    </w:p>
    <w:tbl>
      <w:tblPr>
        <w:tblStyle w:val="8"/>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396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序号</w:t>
            </w:r>
          </w:p>
        </w:tc>
        <w:tc>
          <w:tcPr>
            <w:tcW w:w="2693" w:type="dxa"/>
            <w:vAlign w:val="center"/>
          </w:tcPr>
          <w:p>
            <w:pPr>
              <w:widowControl/>
              <w:spacing w:line="560" w:lineRule="exact"/>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项目及设备</w:t>
            </w:r>
          </w:p>
        </w:tc>
        <w:tc>
          <w:tcPr>
            <w:tcW w:w="3969" w:type="dxa"/>
            <w:vAlign w:val="center"/>
          </w:tcPr>
          <w:p>
            <w:pPr>
              <w:widowControl/>
              <w:spacing w:line="560" w:lineRule="exact"/>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主要配置或技术描述</w:t>
            </w:r>
          </w:p>
        </w:tc>
        <w:tc>
          <w:tcPr>
            <w:tcW w:w="851" w:type="dxa"/>
            <w:vAlign w:val="center"/>
          </w:tcPr>
          <w:p>
            <w:pPr>
              <w:widowControl/>
              <w:spacing w:line="560" w:lineRule="exact"/>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p>
        </w:tc>
        <w:tc>
          <w:tcPr>
            <w:tcW w:w="2693"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车载平台（车辆底盘）</w:t>
            </w:r>
          </w:p>
        </w:tc>
        <w:tc>
          <w:tcPr>
            <w:tcW w:w="3969"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含整车采购费用和税费等</w:t>
            </w:r>
          </w:p>
        </w:tc>
        <w:tc>
          <w:tcPr>
            <w:tcW w:w="851"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p>
        </w:tc>
        <w:tc>
          <w:tcPr>
            <w:tcW w:w="2693"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车辆上户费用</w:t>
            </w:r>
          </w:p>
        </w:tc>
        <w:tc>
          <w:tcPr>
            <w:tcW w:w="3969"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包括车辆购置税、牌照费、</w:t>
            </w:r>
            <w:r>
              <w:rPr>
                <w:rFonts w:hint="eastAsia" w:ascii="Times New Roman" w:hAnsi="Times New Roman" w:eastAsia="仿宋_GB2312" w:cs="Times New Roman"/>
                <w:kern w:val="0"/>
                <w:sz w:val="32"/>
                <w:szCs w:val="32"/>
                <w:lang w:eastAsia="zh-CN"/>
              </w:rPr>
              <w:t>不低于</w:t>
            </w:r>
            <w:r>
              <w:rPr>
                <w:rFonts w:hint="eastAsia" w:ascii="Times New Roman" w:hAnsi="Times New Roman" w:eastAsia="仿宋_GB2312" w:cs="Times New Roman"/>
                <w:kern w:val="0"/>
                <w:sz w:val="32"/>
                <w:szCs w:val="32"/>
                <w:lang w:val="en-US" w:eastAsia="zh-CN"/>
              </w:rPr>
              <w:t>1年的</w:t>
            </w:r>
            <w:r>
              <w:rPr>
                <w:rFonts w:hint="default" w:ascii="Times New Roman" w:hAnsi="Times New Roman" w:eastAsia="仿宋_GB2312" w:cs="Times New Roman"/>
                <w:kern w:val="0"/>
                <w:sz w:val="32"/>
                <w:szCs w:val="32"/>
              </w:rPr>
              <w:t>商业保险费等</w:t>
            </w:r>
          </w:p>
        </w:tc>
        <w:tc>
          <w:tcPr>
            <w:tcW w:w="851"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p>
        </w:tc>
        <w:tc>
          <w:tcPr>
            <w:tcW w:w="2693"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特种车辆公告</w:t>
            </w:r>
          </w:p>
        </w:tc>
        <w:tc>
          <w:tcPr>
            <w:tcW w:w="3969"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监测车公告申报费用</w:t>
            </w:r>
          </w:p>
        </w:tc>
        <w:tc>
          <w:tcPr>
            <w:tcW w:w="851"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p>
        </w:tc>
        <w:tc>
          <w:tcPr>
            <w:tcW w:w="2693"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车辆改装</w:t>
            </w:r>
          </w:p>
        </w:tc>
        <w:tc>
          <w:tcPr>
            <w:tcW w:w="3969"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车辆改装、车辆管理费等</w:t>
            </w:r>
          </w:p>
        </w:tc>
        <w:tc>
          <w:tcPr>
            <w:tcW w:w="851"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p>
        </w:tc>
        <w:tc>
          <w:tcPr>
            <w:tcW w:w="2693"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天线罩</w:t>
            </w:r>
          </w:p>
        </w:tc>
        <w:tc>
          <w:tcPr>
            <w:tcW w:w="3969"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含安装结构件</w:t>
            </w:r>
          </w:p>
        </w:tc>
        <w:tc>
          <w:tcPr>
            <w:tcW w:w="851"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p>
        </w:tc>
        <w:tc>
          <w:tcPr>
            <w:tcW w:w="2693"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设备机柜</w:t>
            </w:r>
          </w:p>
        </w:tc>
        <w:tc>
          <w:tcPr>
            <w:tcW w:w="3969"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含安装结构件及机柜面板</w:t>
            </w:r>
          </w:p>
        </w:tc>
        <w:tc>
          <w:tcPr>
            <w:tcW w:w="851" w:type="dxa"/>
            <w:vAlign w:val="center"/>
          </w:tcPr>
          <w:p>
            <w:pPr>
              <w:widowControl/>
              <w:spacing w:line="5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1套</w:t>
            </w:r>
          </w:p>
        </w:tc>
      </w:tr>
    </w:tbl>
    <w:p>
      <w:pPr>
        <w:pStyle w:val="7"/>
        <w:widowControl/>
        <w:spacing w:beforeAutospacing="0" w:afterAutospacing="0" w:line="560" w:lineRule="exact"/>
        <w:ind w:firstLine="643" w:firstLineChars="200"/>
        <w:rPr>
          <w:rStyle w:val="10"/>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rPr>
        <w:t>3、改装要求</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车顶改装：在车顶平台上部加装低风阻蜂巢玻璃钢天线罩，对车顶开孔处和天线罩底部进行有效防水处理。天线罩直径≤1100mm，高度≤580mm（含安装底座）。</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车内改装：保留原车座椅，根据车型结构安装19英寸左右设备机柜，并预留一定空间用于放置其它附属设备，如线缆盘、不锈钢灭火器等。机柜要求结构稳定可靠、安装方便、可维修性好，贯彻标准化、系列化、模块化设计；在满足设备安装的情况下，尽可能做到体积小、重量轻、造型美观大方。机柜尺寸应符合GB/T 3047.1-1995《高度进制为20mm的面板、架和柜的基本尺寸系列》要求；机柜底部安装孔周围结构牢固、可靠。机柜的结构设计中留有合理的线缆走线位置。机柜设置可拆式后板。根据机柜自身重量以及机柜内设备的重量，使用无谐振减震器组（含底部及顶部），对机柜实行有效减震。</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车辆改装后，车辆的性能、外观与重量、车厢密封性、安全性、可靠性等应符合《无线电管理特种车及装备配置技术要求》。车辆改装完成后向国家相关部门办理相应手续，申请并取得国家相关部门特种车辆公告号及机动车目录。车辆在交付使用时完整提供按照国家关于车辆方面相关规定的手续（包括但不限于：车辆型号铭牌、车辆发票、车辆合格证），保证可以在当地公安车辆管理部门办理车辆牌照及其他相关手续。</w:t>
      </w:r>
    </w:p>
    <w:p>
      <w:pPr>
        <w:pStyle w:val="7"/>
        <w:widowControl/>
        <w:spacing w:beforeAutospacing="0" w:afterAutospacing="0" w:line="560" w:lineRule="exact"/>
        <w:ind w:firstLine="643" w:firstLineChars="200"/>
        <w:rPr>
          <w:rStyle w:val="10"/>
          <w:rFonts w:hint="default" w:ascii="Times New Roman" w:hAnsi="Times New Roman" w:eastAsia="仿宋_GB2312" w:cs="Times New Roman"/>
          <w:sz w:val="32"/>
          <w:szCs w:val="32"/>
        </w:rPr>
      </w:pPr>
      <w:r>
        <w:rPr>
          <w:rStyle w:val="10"/>
          <w:rFonts w:hint="default" w:ascii="Times New Roman" w:hAnsi="Times New Roman" w:eastAsia="仿宋_GB2312" w:cs="Times New Roman"/>
          <w:sz w:val="32"/>
          <w:szCs w:val="32"/>
        </w:rPr>
        <w:t>4、性能指标要求</w:t>
      </w:r>
    </w:p>
    <w:p>
      <w:pPr>
        <w:pStyle w:val="7"/>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（1）承载车辆采用5门7座MPV车型；</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（2）车辆外观、内饰颜色在车辆采购前由采购人确认；</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（3）能源类型及环保标准：48V轻混系统，国VI B；</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（4）长(mm)*宽(mm)*高(mm)：≥5200*≥18</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0*≥1800；轴距(mm)：≥30</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（5）发动机排量(L)≥2.0T可变缸涡轮增压发动机，9速智能变速箱；</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（6）发动机最大功率不低于170kW/rpm、最大扭矩不低于350N.m/rpm；</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（7）底盘悬架（前/后）：增强型麦弗逊悬挂/多连杆独立悬挂</w:t>
      </w:r>
    </w:p>
    <w:p>
      <w:pPr>
        <w:widowControl/>
        <w:spacing w:after="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（8）连续行驶里程：集成后的车辆在以55%最高车速匀速行驶时，续驶里程大于600km</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具有良好的通过性、接近角、离地角、最小离地间隙。</w:t>
      </w:r>
    </w:p>
    <w:p>
      <w:pPr>
        <w:pStyle w:val="7"/>
        <w:widowControl/>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（9）其它要求：所选车辆应保证改装后车辆前、后桥满载质量不大于原车厂规定的满载质量。</w:t>
      </w:r>
    </w:p>
    <w:p>
      <w:pPr>
        <w:pStyle w:val="7"/>
        <w:widowControl/>
        <w:spacing w:before="0" w:beforeAutospacing="0" w:after="0" w:afterAutospacing="0" w:line="560" w:lineRule="exact"/>
        <w:ind w:firstLine="640" w:firstLineChars="200"/>
        <w:rPr>
          <w:rFonts w:hint="default" w:eastAsia="黑体" w:asciiTheme="minorAscii" w:hAnsiTheme="minorAscii" w:cstheme="minorBidi"/>
          <w:b w:val="0"/>
          <w:bCs w:val="0"/>
          <w:kern w:val="44"/>
          <w:sz w:val="32"/>
          <w:szCs w:val="24"/>
        </w:rPr>
      </w:pPr>
      <w:r>
        <w:rPr>
          <w:rFonts w:hint="eastAsia" w:eastAsia="黑体" w:asciiTheme="minorAscii" w:hAnsiTheme="minorAscii" w:cstheme="minorBidi"/>
          <w:kern w:val="44"/>
          <w:sz w:val="32"/>
          <w:szCs w:val="24"/>
          <w:lang w:val="en-US" w:eastAsia="zh-CN"/>
        </w:rPr>
        <w:t>四、商务要求</w:t>
      </w:r>
    </w:p>
    <w:p>
      <w:pPr>
        <w:pStyle w:val="7"/>
        <w:widowControl/>
        <w:spacing w:beforeAutospacing="0" w:afterAutospacing="0" w:line="560" w:lineRule="exact"/>
        <w:ind w:firstLine="643" w:firstLineChars="200"/>
        <w:rPr>
          <w:rStyle w:val="10"/>
          <w:rFonts w:hint="default" w:ascii="Times New Roman" w:hAnsi="Times New Roman" w:eastAsia="仿宋_GB2312" w:cs="Times New Roman"/>
          <w:sz w:val="32"/>
          <w:szCs w:val="32"/>
        </w:rPr>
      </w:pPr>
      <w:r>
        <w:rPr>
          <w:rStyle w:val="10"/>
          <w:rFonts w:hint="eastAsia" w:ascii="Times New Roman" w:hAnsi="Times New Roman" w:eastAsia="仿宋_GB2312" w:cs="Times New Roman"/>
          <w:sz w:val="32"/>
          <w:szCs w:val="32"/>
          <w:lang w:val="en-US" w:eastAsia="zh-CN"/>
        </w:rPr>
        <w:t>1</w:t>
      </w:r>
      <w:r>
        <w:rPr>
          <w:rStyle w:val="10"/>
          <w:rFonts w:hint="default" w:ascii="Times New Roman" w:hAnsi="Times New Roman" w:eastAsia="仿宋_GB2312" w:cs="Times New Roman"/>
          <w:sz w:val="32"/>
          <w:szCs w:val="32"/>
        </w:rPr>
        <w:t>、交货期</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w:t>
      </w:r>
      <w:r>
        <w:rPr>
          <w:rFonts w:hint="default" w:ascii="Times New Roman" w:hAnsi="Times New Roman" w:eastAsia="仿宋_GB2312" w:cs="Times New Roman"/>
          <w:kern w:val="0"/>
          <w:sz w:val="32"/>
          <w:szCs w:val="32"/>
          <w:lang w:val="en-US" w:eastAsia="zh-CN" w:bidi="ar-SA"/>
        </w:rPr>
        <w:t>合同签订之日起180日。</w:t>
      </w:r>
    </w:p>
    <w:p>
      <w:pPr>
        <w:pStyle w:val="7"/>
        <w:widowControl/>
        <w:spacing w:beforeAutospacing="0" w:afterAutospacing="0" w:line="560" w:lineRule="exact"/>
        <w:ind w:firstLine="643" w:firstLineChars="200"/>
        <w:rPr>
          <w:rStyle w:val="10"/>
          <w:rFonts w:hint="default" w:ascii="Times New Roman" w:hAnsi="Times New Roman" w:eastAsia="仿宋_GB2312" w:cs="Times New Roman"/>
          <w:sz w:val="32"/>
          <w:szCs w:val="32"/>
        </w:rPr>
      </w:pPr>
      <w:r>
        <w:rPr>
          <w:rStyle w:val="10"/>
          <w:rFonts w:hint="eastAsia" w:ascii="Times New Roman" w:hAnsi="Times New Roman" w:eastAsia="仿宋_GB2312" w:cs="Times New Roman"/>
          <w:sz w:val="32"/>
          <w:szCs w:val="32"/>
          <w:lang w:val="en-US" w:eastAsia="zh-CN"/>
        </w:rPr>
        <w:t>2</w:t>
      </w:r>
      <w:r>
        <w:rPr>
          <w:rStyle w:val="10"/>
          <w:rFonts w:hint="default" w:ascii="Times New Roman" w:hAnsi="Times New Roman" w:eastAsia="仿宋_GB2312" w:cs="Times New Roman"/>
          <w:sz w:val="32"/>
          <w:szCs w:val="32"/>
        </w:rPr>
        <w:t>、质量保修范围和保修期</w:t>
      </w:r>
    </w:p>
    <w:p>
      <w:pPr>
        <w:spacing w:line="54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质保期：按该型车市场公开销售承诺期限执行（免费保修期自验收完成之日起计算）。 </w:t>
      </w:r>
    </w:p>
    <w:p>
      <w:pPr>
        <w:spacing w:line="54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供应商应有专人负责与采购人联系售后服务事宜，具有专门固定的售后服务电话，并能提供本地化服务。</w:t>
      </w:r>
    </w:p>
    <w:p>
      <w:pPr>
        <w:spacing w:line="54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 xml:space="preserve">在质保期内货物出现质量问题，供应商应在接到通知后12小时内响应，24小时内完成维修。货物需更换的应在7个工作日内完成更换。逾期未完成维修或更换的，每延迟一天供应商应向采购人支付合同总价1%的违约金。 </w:t>
      </w:r>
    </w:p>
    <w:p>
      <w:pPr>
        <w:spacing w:line="54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货物经供应商3次维修或更换仍不能达到本合同约定的质量标准</w:t>
      </w:r>
      <w:r>
        <w:rPr>
          <w:rFonts w:hint="default" w:ascii="Times New Roman" w:hAnsi="Times New Roman" w:eastAsia="仿宋_GB2312" w:cs="Times New Roman"/>
          <w:sz w:val="32"/>
          <w:szCs w:val="32"/>
          <w:lang w:val="en-US" w:eastAsia="zh-CN"/>
        </w:rPr>
        <w:t>或通过验收</w:t>
      </w:r>
      <w:r>
        <w:rPr>
          <w:rFonts w:hint="default" w:ascii="Times New Roman" w:hAnsi="Times New Roman" w:eastAsia="仿宋_GB2312" w:cs="Times New Roman"/>
          <w:sz w:val="32"/>
          <w:szCs w:val="32"/>
        </w:rPr>
        <w:t xml:space="preserve">，视作供应商未能按时交货，采购人有权退货并追究供应商的违约责任。 </w:t>
      </w:r>
    </w:p>
    <w:p>
      <w:pPr>
        <w:spacing w:line="54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 xml:space="preserve">供应商承诺项目全部货物的各种部件均保证齐备、充足供应，若因产品升级更新等原因不能保障供应造成采购人损失的，供应商承担全部赔偿责任。 </w:t>
      </w:r>
    </w:p>
    <w:p>
      <w:pPr>
        <w:spacing w:line="54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质保期内供应商负责所有因货物质量问题而产生的费用。质保期满前一个月，供应商负责一次全面的检查、维护，并出具正式报告，如发现潜在问题，应负责排除且不收取任何费用。</w:t>
      </w:r>
    </w:p>
    <w:p>
      <w:pPr>
        <w:pStyle w:val="7"/>
        <w:widowControl/>
        <w:spacing w:beforeAutospacing="0" w:afterAutospacing="0" w:line="540" w:lineRule="exact"/>
        <w:ind w:firstLine="643" w:firstLineChars="200"/>
        <w:rPr>
          <w:rStyle w:val="10"/>
          <w:rFonts w:hint="default" w:ascii="Times New Roman" w:hAnsi="Times New Roman" w:eastAsia="仿宋_GB2312" w:cs="Times New Roman"/>
          <w:sz w:val="32"/>
          <w:szCs w:val="32"/>
        </w:rPr>
      </w:pPr>
      <w:r>
        <w:rPr>
          <w:rStyle w:val="10"/>
          <w:rFonts w:hint="eastAsia" w:ascii="Times New Roman" w:hAnsi="Times New Roman" w:eastAsia="仿宋_GB2312" w:cs="Times New Roman"/>
          <w:sz w:val="32"/>
          <w:szCs w:val="32"/>
          <w:lang w:val="en-US" w:eastAsia="zh-CN"/>
        </w:rPr>
        <w:t>3</w:t>
      </w:r>
      <w:r>
        <w:rPr>
          <w:rStyle w:val="10"/>
          <w:rFonts w:hint="default" w:ascii="Times New Roman" w:hAnsi="Times New Roman" w:eastAsia="仿宋_GB2312" w:cs="Times New Roman"/>
          <w:sz w:val="32"/>
          <w:szCs w:val="32"/>
        </w:rPr>
        <w:t>、验收</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符合国家、行业标准、福建省地方标准规定的验收标准。严格按照《财政部关于进一步加强政府采购需求和履约验收管理的指导意见》（财库〔2016〕205号）及《政府采购需求管理办法》（财库〔2021〕22号 ）的要求组织验收。验收应以采购合同、采购及其补充文件、国家或行业相关标准为验收的主要依据。</w:t>
      </w:r>
    </w:p>
    <w:p>
      <w:pPr>
        <w:widowControl/>
        <w:spacing w:beforeAutospacing="0" w:afterAutospacing="0" w:line="540" w:lineRule="exact"/>
        <w:ind w:firstLine="643" w:firstLineChars="200"/>
        <w:jc w:val="left"/>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kern w:val="0"/>
          <w:sz w:val="32"/>
          <w:szCs w:val="32"/>
          <w:lang w:val="en-US" w:eastAsia="zh-CN" w:bidi="ar-SA"/>
        </w:rPr>
        <w:t>4</w:t>
      </w:r>
      <w:r>
        <w:rPr>
          <w:rFonts w:hint="default" w:ascii="Times New Roman" w:hAnsi="Times New Roman" w:eastAsia="仿宋_GB2312" w:cs="Times New Roman"/>
          <w:b/>
          <w:kern w:val="0"/>
          <w:sz w:val="32"/>
          <w:szCs w:val="32"/>
          <w:lang w:val="en-US" w:eastAsia="zh-CN" w:bidi="ar-SA"/>
        </w:rPr>
        <w:t>、付款进度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1.合同签订后，</w:t>
      </w:r>
      <w:r>
        <w:rPr>
          <w:rFonts w:hint="default" w:ascii="Times New Roman" w:hAnsi="Times New Roman" w:eastAsia="仿宋_GB2312" w:cs="Times New Roman"/>
          <w:sz w:val="32"/>
          <w:szCs w:val="32"/>
          <w:lang w:val="en-US" w:eastAsia="zh-CN"/>
        </w:rPr>
        <w:t>完全</w:t>
      </w:r>
      <w:r>
        <w:rPr>
          <w:rFonts w:hint="default" w:ascii="Times New Roman" w:hAnsi="Times New Roman" w:eastAsia="仿宋_GB2312" w:cs="Times New Roman"/>
          <w:sz w:val="32"/>
          <w:szCs w:val="32"/>
        </w:rPr>
        <w:t>满足下述三个条件后15个工作日内，甲方经相关审批部门批准后，根据付款流程支付乙方合同总金额90%。</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（1）乙方向甲方提交总金额90%的</w:t>
      </w:r>
      <w:r>
        <w:rPr>
          <w:rFonts w:hint="default" w:ascii="Times New Roman" w:hAnsi="Times New Roman" w:eastAsia="仿宋_GB2312" w:cs="Times New Roman"/>
          <w:sz w:val="32"/>
          <w:szCs w:val="32"/>
          <w:lang w:val="en-US" w:eastAsia="zh-CN"/>
        </w:rPr>
        <w:t>正式发票</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（2）乙方向甲方提交合同总金额10%的政府采购履约保函，有效期至最终验收完成后，受益人为</w:t>
      </w:r>
      <w:r>
        <w:rPr>
          <w:rFonts w:hint="default"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（3）乙方向甲方提供，乙方与车辆供应商（车辆改装厂）有效的付款凭证</w:t>
      </w:r>
      <w:r>
        <w:rPr>
          <w:rFonts w:hint="default" w:ascii="Times New Roman" w:hAnsi="Times New Roman" w:eastAsia="仿宋_GB2312" w:cs="Times New Roman"/>
          <w:sz w:val="32"/>
          <w:szCs w:val="32"/>
          <w:lang w:val="en-US" w:eastAsia="zh-CN"/>
        </w:rPr>
        <w:t>复印件（加盖公章），甲方有权核对付款凭证原件</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2.在全部满足下述2个条件后15个工作日内，甲方经相关审批部门批准后，根据付款流程支付乙方合同总金额10%。</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（1）乙方向甲方提交总金额10%的</w:t>
      </w:r>
      <w:r>
        <w:rPr>
          <w:rFonts w:hint="default" w:ascii="Times New Roman" w:hAnsi="Times New Roman" w:eastAsia="仿宋_GB2312" w:cs="Times New Roman"/>
          <w:sz w:val="32"/>
          <w:szCs w:val="32"/>
          <w:lang w:val="en-US" w:eastAsia="zh-CN"/>
        </w:rPr>
        <w:t>正式发票</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（2）到货验收后，并有甲方出具的书面验收</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意见。</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3.设备最终验收合格后（以正式书面验收意见为准），如没有出现</w:t>
      </w:r>
      <w:r>
        <w:rPr>
          <w:rFonts w:hint="default" w:ascii="Times New Roman" w:hAnsi="Times New Roman" w:eastAsia="仿宋_GB2312" w:cs="Times New Roman"/>
          <w:sz w:val="32"/>
          <w:szCs w:val="32"/>
          <w:lang w:val="en-US" w:eastAsia="zh-CN"/>
        </w:rPr>
        <w:t>乙方违约需扣除违约金、赔偿金等情形</w:t>
      </w:r>
      <w:r>
        <w:rPr>
          <w:rFonts w:hint="default" w:ascii="Times New Roman" w:hAnsi="Times New Roman" w:eastAsia="仿宋_GB2312" w:cs="Times New Roman"/>
          <w:sz w:val="32"/>
          <w:szCs w:val="32"/>
        </w:rPr>
        <w:t>，甲方10个工作日内退还乙方合同总金额10%的履约保函。</w:t>
      </w:r>
    </w:p>
    <w:p>
      <w:pPr>
        <w:pStyle w:val="7"/>
        <w:widowControl/>
        <w:spacing w:beforeAutospacing="0" w:afterAutospacing="0" w:line="540" w:lineRule="exact"/>
        <w:ind w:firstLine="640" w:firstLineChars="200"/>
        <w:rPr>
          <w:rFonts w:hint="eastAsia" w:eastAsia="黑体" w:asciiTheme="minorAscii" w:hAnsiTheme="minorAscii" w:cstheme="minorBidi"/>
          <w:kern w:val="44"/>
          <w:sz w:val="32"/>
          <w:szCs w:val="24"/>
          <w:lang w:val="en-US" w:eastAsia="zh-CN"/>
        </w:rPr>
      </w:pPr>
      <w:r>
        <w:rPr>
          <w:rFonts w:hint="eastAsia" w:eastAsia="黑体" w:asciiTheme="minorAscii" w:hAnsiTheme="minorAscii" w:cstheme="minorBidi"/>
          <w:kern w:val="44"/>
          <w:sz w:val="32"/>
          <w:szCs w:val="24"/>
          <w:lang w:val="en-US" w:eastAsia="zh-CN"/>
        </w:rPr>
        <w:t>五、其他要求</w:t>
      </w:r>
    </w:p>
    <w:p>
      <w:pPr>
        <w:pStyle w:val="7"/>
        <w:widowControl/>
        <w:spacing w:beforeAutospacing="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本次询价项目的最终合同履行，以采购人获得福建省财政厅批准新购车辆公务用车编制为前提条件。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若上述编制未获批准，即使已</w:t>
      </w:r>
      <w:r>
        <w:rPr>
          <w:rFonts w:hint="eastAsia" w:ascii="Times New Roman" w:hAnsi="Times New Roman" w:eastAsia="仿宋_GB2312" w:cs="Times New Roman"/>
          <w:sz w:val="32"/>
          <w:szCs w:val="32"/>
          <w:lang w:val="en-US" w:eastAsia="zh-CN"/>
        </w:rPr>
        <w:t>签订合同</w:t>
      </w:r>
      <w:r>
        <w:rPr>
          <w:rFonts w:hint="default" w:ascii="Times New Roman" w:hAnsi="Times New Roman" w:eastAsia="仿宋_GB2312" w:cs="Times New Roman"/>
          <w:sz w:val="32"/>
          <w:szCs w:val="32"/>
        </w:rPr>
        <w:t>，采购人亦有权取消</w:t>
      </w:r>
      <w:r>
        <w:rPr>
          <w:rFonts w:hint="eastAsia" w:ascii="Times New Roman" w:hAnsi="Times New Roman" w:eastAsia="仿宋_GB2312" w:cs="Times New Roman"/>
          <w:sz w:val="32"/>
          <w:szCs w:val="32"/>
          <w:lang w:val="en-US" w:eastAsia="zh-CN"/>
        </w:rPr>
        <w:t>履行</w:t>
      </w:r>
      <w:r>
        <w:rPr>
          <w:rFonts w:hint="default" w:ascii="Times New Roman" w:hAnsi="Times New Roman" w:eastAsia="仿宋_GB2312" w:cs="Times New Roman"/>
          <w:sz w:val="32"/>
          <w:szCs w:val="32"/>
        </w:rPr>
        <w:t>合同，且无需承担任何违约或补偿责任。</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请各报价人在参与报价时，充分知晓并考虑上述审批风险。</w:t>
      </w:r>
    </w:p>
    <w:p>
      <w:pPr>
        <w:pStyle w:val="7"/>
        <w:widowControl/>
        <w:spacing w:beforeAutospacing="0" w:afterAutospacing="0" w:line="540" w:lineRule="exact"/>
        <w:ind w:firstLine="640" w:firstLineChars="200"/>
        <w:rPr>
          <w:rFonts w:hint="eastAsia" w:eastAsia="黑体" w:asciiTheme="minorAscii" w:hAnsiTheme="minorAscii" w:cstheme="minorBidi"/>
          <w:kern w:val="44"/>
          <w:sz w:val="32"/>
          <w:szCs w:val="24"/>
          <w:lang w:val="en-US" w:eastAsia="zh-CN"/>
        </w:rPr>
      </w:pPr>
      <w:r>
        <w:rPr>
          <w:rFonts w:hint="eastAsia" w:eastAsia="黑体" w:asciiTheme="minorAscii" w:hAnsiTheme="minorAscii" w:cstheme="minorBidi"/>
          <w:kern w:val="44"/>
          <w:sz w:val="32"/>
          <w:szCs w:val="24"/>
          <w:lang w:val="en-US" w:eastAsia="zh-CN"/>
        </w:rPr>
        <w:t>六、技术内容及商务要求响应模板</w:t>
      </w:r>
    </w:p>
    <w:tbl>
      <w:tblPr>
        <w:tblStyle w:val="8"/>
        <w:tblW w:w="8725" w:type="dxa"/>
        <w:jc w:val="center"/>
        <w:tblLayout w:type="fixed"/>
        <w:tblCellMar>
          <w:top w:w="32" w:type="dxa"/>
          <w:left w:w="64" w:type="dxa"/>
          <w:bottom w:w="32" w:type="dxa"/>
          <w:right w:w="64" w:type="dxa"/>
        </w:tblCellMar>
      </w:tblPr>
      <w:tblGrid>
        <w:gridCol w:w="979"/>
        <w:gridCol w:w="5147"/>
        <w:gridCol w:w="1689"/>
        <w:gridCol w:w="910"/>
      </w:tblGrid>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rPr>
                <w:rFonts w:hint="eastAsia" w:eastAsia="等线"/>
                <w:b/>
                <w:lang w:eastAsia="zh-CN"/>
              </w:rPr>
            </w:pPr>
            <w:r>
              <w:rPr>
                <w:rFonts w:hint="eastAsia"/>
                <w:b/>
                <w:lang w:eastAsia="zh-CN"/>
              </w:rPr>
              <w:t>序号</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rPr>
                <w:rFonts w:hint="eastAsia" w:eastAsia="等线"/>
                <w:b/>
                <w:lang w:eastAsia="zh-CN"/>
              </w:rPr>
            </w:pPr>
            <w:r>
              <w:rPr>
                <w:rFonts w:hint="eastAsia"/>
                <w:b/>
                <w:lang w:eastAsia="zh-CN"/>
              </w:rPr>
              <w:t>要求内容</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rPr>
                <w:rFonts w:hint="eastAsia" w:eastAsia="等线"/>
                <w:b/>
                <w:lang w:eastAsia="zh-CN"/>
              </w:rPr>
            </w:pPr>
            <w:r>
              <w:rPr>
                <w:rFonts w:hint="eastAsia"/>
                <w:b/>
                <w:lang w:eastAsia="zh-CN"/>
              </w:rPr>
              <w:t>响应内容</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rPr>
                <w:rFonts w:hint="eastAsia" w:eastAsia="等线"/>
                <w:b/>
                <w:lang w:eastAsia="zh-CN"/>
              </w:rPr>
            </w:pPr>
            <w:r>
              <w:rPr>
                <w:rFonts w:hint="eastAsia"/>
                <w:b/>
                <w:lang w:eastAsia="zh-CN"/>
              </w:rPr>
              <w:t>响应情况</w:t>
            </w:r>
          </w:p>
        </w:tc>
      </w:tr>
      <w:tr>
        <w:tblPrEx>
          <w:tblCellMar>
            <w:top w:w="32" w:type="dxa"/>
            <w:left w:w="64" w:type="dxa"/>
            <w:bottom w:w="32" w:type="dxa"/>
            <w:right w:w="64" w:type="dxa"/>
          </w:tblCellMar>
        </w:tblPrEx>
        <w:trPr>
          <w:jc w:val="center"/>
        </w:trPr>
        <w:tc>
          <w:tcPr>
            <w:tcW w:w="6126"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rPr>
                <w:rFonts w:hint="eastAsia" w:ascii="黑体" w:hAnsi="黑体" w:eastAsia="黑体" w:cs="黑体"/>
                <w:lang w:val="en-US" w:eastAsia="zh-CN"/>
              </w:rPr>
              <w:t>三</w:t>
            </w:r>
            <w:r>
              <w:rPr>
                <w:rFonts w:hint="eastAsia" w:ascii="黑体" w:hAnsi="黑体" w:eastAsia="黑体" w:cs="黑体"/>
              </w:rPr>
              <w:t>、技术和服务要求</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1</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总体要求</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(1)</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车辆集成要求</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1)</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车载集成总体要求：车辆集成过程应符合国家相关标准和交通管理部门有关要求，应遵循如下文件或标准：QC/T 934-2012《无线电监测车技术条件》、GB 7258-2017《机动车运行安全技术条件》、GA802-2014《机动车类型、术语和定义》、GB1589-2016《汽车、挂车及汽车列车外廓尺寸、轴荷及质量限值》。</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rPr>
                <w:rFonts w:hint="eastAsia" w:ascii="仿宋_GB2312" w:hAnsi="仿宋_GB2312" w:eastAsia="仿宋_GB2312" w:cs="仿宋_GB2312"/>
                <w:szCs w:val="21"/>
                <w:highlight w:val="yellow"/>
              </w:rPr>
              <w:t>范例：</w:t>
            </w:r>
            <w:r>
              <w:rPr>
                <w:rFonts w:hint="eastAsia"/>
              </w:rPr>
              <w:t>车辆集成过程符合国家相关标准和交通管理部门有关要求，应遵循如下文件或标准：QC/T 934-2012《无线电监测车技术条件》、GB 7258-2017《机动车运行安全技术条件》、GA802-2014《机动车类型、术语和定义》、GB1589-2016《汽车、挂车及汽车列车外廓尺寸、轴荷及质量限值》。</w:t>
            </w: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rPr>
                <w:rFonts w:hint="eastAsia" w:ascii="仿宋_GB2312" w:hAnsi="仿宋_GB2312" w:eastAsia="仿宋_GB2312" w:cs="仿宋_GB2312"/>
                <w:szCs w:val="21"/>
                <w:highlight w:val="yellow"/>
              </w:rPr>
              <w:t>范例：</w:t>
            </w:r>
            <w:r>
              <w:rPr>
                <w:rFonts w:hint="eastAsia"/>
              </w:rPr>
              <w:t>无偏离</w:t>
            </w: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通用要求</w:t>
            </w:r>
            <w:r>
              <w:br w:type="textWrapping"/>
            </w:r>
            <w:r>
              <w:t>一般要求：经集成后的装载平台，使用性能不能降低原车辆/底盘的要求。</w:t>
            </w:r>
            <w:r>
              <w:br w:type="textWrapping"/>
            </w:r>
            <w:r>
              <w:t>制动：沿坡度为25°的坡路上下行驶时，应能有效地实施制动。停车制动应能在20°的上坡和下坡的坚实路面上有效地保持。</w:t>
            </w:r>
            <w:r>
              <w:br w:type="textWrapping"/>
            </w:r>
            <w:r>
              <w:t>侧坡操作：在坡度为10°的侧坡上应能操作和行驶，不出现停车、滑车或翻车等危险。</w:t>
            </w:r>
            <w:r>
              <w:br w:type="textWrapping"/>
            </w:r>
            <w:r>
              <w:t>涉水：应具有良好的涉水能力，车下部的零部件应密封良好，不致因正常的涉水而灌入水或泥沙，造成损坏或永久性的影响。</w:t>
            </w:r>
            <w:r>
              <w:br w:type="textWrapping"/>
            </w:r>
            <w:r>
              <w:t>车厢密封：门、窗关闭的条件下，应能承受与铅垂线成45°降雨量为5mm/min-7mm/min持续时间为1h的淋雨，车内和车壁内部不应该有渗水和漏水，驾驶室、工作室、接口窗及各孔口等处不应有漏水现象。</w:t>
            </w:r>
            <w:r>
              <w:br w:type="textWrapping"/>
            </w:r>
            <w:r>
              <w:t>车辆布线：强弱电布线、仪器设备安装便于维护，同时要充分考虑电磁兼容，布线要用线槽方式，保证屏蔽效果和便于检修。</w:t>
            </w:r>
            <w:r>
              <w:br w:type="textWrapping"/>
            </w:r>
            <w:r>
              <w:t>车辆集成后保证不低于原汽车的各项规定性能指标。</w:t>
            </w:r>
            <w:r>
              <w:br w:type="textWrapping"/>
            </w:r>
            <w:r>
              <w:t>天线、设备等备件的储纳收藏巧妙合理规范。</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3)</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安全性</w:t>
            </w:r>
            <w:r>
              <w:br w:type="textWrapping"/>
            </w:r>
            <w:r>
              <w:t>移动监测车应具备安全及保护措施，保证乘员的安全；凡危险部位均应加防护和隔离装置，并有明显的标志；使用环保安全材料，以减少对人体的伤害。</w:t>
            </w:r>
            <w:r>
              <w:br w:type="textWrapping"/>
            </w:r>
            <w:r>
              <w:t>车辆在停止状态下使用时应具有良好的接地。</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集成性能要求</w:t>
            </w:r>
            <w:r>
              <w:br w:type="textWrapping"/>
            </w:r>
            <w:r>
              <w:t>集成须遵循以下原则：</w:t>
            </w:r>
            <w:r>
              <w:br w:type="textWrapping"/>
            </w:r>
            <w:r>
              <w:t>1）集成部分结构及与车架连接的合理性保持不变。</w:t>
            </w:r>
            <w:r>
              <w:br w:type="textWrapping"/>
            </w:r>
            <w:r>
              <w:t>2）集成后质量分配的合理性、左右承载的均匀性符合底盘轴载要求。</w:t>
            </w:r>
            <w:r>
              <w:br w:type="textWrapping"/>
            </w:r>
            <w:r>
              <w:t>3）集成后，整车总质量不得超过允许的最大总质量，轴载质量不超过允许的最大轴载质量。</w:t>
            </w:r>
            <w:r>
              <w:br w:type="textWrapping"/>
            </w:r>
            <w:r>
              <w:t>4）采用合理的配重和减震，集成后的车辆保持原有的动力性和全面的安全舒适性。</w:t>
            </w:r>
            <w:r>
              <w:br w:type="textWrapping"/>
            </w:r>
            <w:r>
              <w:t>5）重心位置应尽可能低，但必须留有车轮弹跳高度所需的空间。</w:t>
            </w:r>
            <w:r>
              <w:br w:type="textWrapping"/>
            </w:r>
            <w:r>
              <w:t>6）集成后车辆外形尺寸不得超过限值，车辆后悬不得超过标准限值。</w:t>
            </w:r>
            <w:r>
              <w:br w:type="textWrapping"/>
            </w:r>
            <w:r>
              <w:t>7）集成后的车辆应保证原底盘的维修、保养方便性。</w:t>
            </w:r>
            <w:r>
              <w:br w:type="textWrapping"/>
            </w:r>
            <w:r>
              <w:t>8）集成后的车辆满足国家现行法规要求。</w:t>
            </w:r>
            <w:r>
              <w:br w:type="textWrapping"/>
            </w:r>
            <w:r>
              <w:t>9）所有操作</w:t>
            </w:r>
            <w:r>
              <w:rPr>
                <w:rFonts w:hint="eastAsia"/>
                <w:lang w:val="en-US" w:eastAsia="zh-CN"/>
              </w:rPr>
              <w:t>均</w:t>
            </w:r>
            <w:r>
              <w:t>应在设备或单元面板前面进行。</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(3)</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电磁兼容要求</w:t>
            </w:r>
            <w:r>
              <w:br w:type="textWrapping"/>
            </w:r>
            <w:r>
              <w:t>车辆集成及车内设备布局充分考虑电磁屏蔽。电磁兼容是指设备或系统在其电磁环境中能正常工作且不对该环境中任何事物构成不能承受的电磁骚扰的能力。移动监测车内设备种类繁多，且车内空间狭小，设备布局紧密；各种电源设备、无线设备、网络通信设备集成在狭小的空间内，系统间的电磁干扰和兼容问题就变得尖锐复杂，因此在进行车辆集成时必须做好电磁兼容设计，确保系统工作的正常性和稳定性。它包括电磁干扰和抗电磁干扰两个方面。</w:t>
            </w:r>
            <w:r>
              <w:br w:type="textWrapping"/>
            </w:r>
            <w:r>
              <w:t>1）电磁兼容性设计：车辆电磁兼容性设计参照《军用通信车通用规范》（GJB 2198-2005）有关规定执行。抑制电磁干扰的所有措施不能危及人身、车内设备和汽车底盘的安全，不能影响通信系统的正常功能。</w:t>
            </w:r>
            <w:r>
              <w:br w:type="textWrapping"/>
            </w:r>
            <w:r>
              <w:t>2）布局要求：天线之间的隔离度应符合相关设备的要求。车内设备布局应满足以下要求：在保证载荷分布合理的情况下，应将设备之间的相互干扰控制在允许的范围内，强辐射设备与敏感设备应相互远离，敏感设备的安装应避开车厢的门、窗和孔口。</w:t>
            </w:r>
            <w:r>
              <w:br w:type="textWrapping"/>
            </w:r>
            <w:r>
              <w:t>3）导线、电缆的选用要求：选用导线、电缆时应根据传输信号的功率电平、频率范围和车内电磁环境等要求来确定；与高频信号或宽带阻抗匹配时，应依据频率高低和功率大小选用相应的同轴电缆；车内有较强辐射源时，传输低频信号的线缆应选用屏蔽双绞线，其纽绞次数不低于23次/m；干扰强的电源线应选用屏蔽电缆；外部电源线线缆需要时应采取必要的屏蔽措施。</w:t>
            </w:r>
            <w:r>
              <w:br w:type="textWrapping"/>
            </w:r>
            <w:r>
              <w:t>4）滤波：电源输入端应有抑制共模干扰和差模干扰的滤波器；当车内电磁环境较复杂时，开关电源分配组各设备的直流供电输出口应有电源滤波器；信号输入输出口应有模拟或数字信号滤波器。</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(4)</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电气布线要求</w:t>
            </w:r>
            <w:r>
              <w:br w:type="textWrapping"/>
            </w:r>
            <w:r>
              <w:t>1）一般要求：导线和电缆一般应布设在走线钢带或走线槽内，必要处应加保护措施，避免与粗糙及不规则的表面和金属边角接触。导线和电缆的长度应留有适当的余量，以便操作和维修。布线中并行的导线除有明确规定外不允许绞合。所有机柜在工厂中作好内部连线，内部电缆和连接头种类包括信号、监控、遥控、电源分配等等。若分系统按N+1保护方式配置，但初始不是所有单元都装到架子上，也要配齐所有单元的电缆和连接头。</w:t>
            </w:r>
            <w:r>
              <w:br w:type="textWrapping"/>
            </w:r>
            <w:r>
              <w:t>2）电源系统：电源系统的环路电阻应符合相关标准的要求；在温度为15℃～35℃，相对湿度为45%～75%的情况下，电源线之间及电源线对地之间的绝缘电阻应不小于100MΩ。</w:t>
            </w:r>
            <w:r>
              <w:br w:type="textWrapping"/>
            </w:r>
            <w:r>
              <w:t>3）信号系统：信号线的环路电阻应不大于3Ω；在温度为15℃～35℃，相对湿度为45%～75%的情况下，信号线间、车载天线与车皮间的绝缘电阻应不小于100MΩ；信号系统的导线、电缆和接插件应能承受直流电压500V（门限电流1mA)在30秒时间内不击穿；音频信号线之间的串音衰减，在实验频率为800Hz时应不小于78dB；车内各设备接地线与车体应保持良好接触，设备接地端到车体间电阻应不大于0.02Ω。</w:t>
            </w:r>
            <w:r>
              <w:br w:type="textWrapping"/>
            </w:r>
            <w:r>
              <w:t>4）接口要求：车</w:t>
            </w:r>
            <w:r>
              <w:rPr>
                <w:rFonts w:hint="eastAsia"/>
                <w:lang w:eastAsia="zh-CN"/>
              </w:rPr>
              <w:t>载平台</w:t>
            </w:r>
            <w:r>
              <w:t>内部设备接口（或光接口）应符合有关标准规定，并满足车内各设备之间互连的接口要求；移动监测车应具有对外互连接口，接口种类根据实际需求可包括视音频接口、有线电话接口、数据接口等。</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(5)</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装车设备要求</w:t>
            </w:r>
            <w:r>
              <w:br w:type="textWrapping"/>
            </w:r>
            <w:r>
              <w:t>设备确认：装车设备必须符合国家法律法规和国家无线电主管部门的有关规定，具有设备承制单位的合格证明。</w:t>
            </w:r>
            <w:r>
              <w:br w:type="textWrapping"/>
            </w:r>
            <w:r>
              <w:t>设备安全性：装车设备的安全性要求应符合《无线电管理特种车及装备配置技术要求》的有关规定，保证对人员不造成伤害，对其他设备的正常工作不产生影响。</w:t>
            </w:r>
            <w:r>
              <w:br w:type="textWrapping"/>
            </w:r>
            <w:r>
              <w:t>设备保障性：装车设备应提供设备使用说明书、技术说明书和维修手册等技术资料；提供必要的备件、附件；需要包装的设备和备件的包装应合理，并能满足规定的运输要求。</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系统配置</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2.1</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车载平台（车辆底盘）：含整车采购费用和税费等</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2.2</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车辆上户费用：包括车辆购置税、牌照费、</w:t>
            </w:r>
            <w:bookmarkStart w:id="0" w:name="_GoBack"/>
            <w:r>
              <w:rPr>
                <w:rFonts w:hint="eastAsia"/>
                <w:lang w:eastAsia="zh-CN"/>
              </w:rPr>
              <w:t>不低于</w:t>
            </w:r>
            <w:r>
              <w:rPr>
                <w:rFonts w:hint="eastAsia"/>
                <w:lang w:val="en-US" w:eastAsia="zh-CN"/>
              </w:rPr>
              <w:t>1年的</w:t>
            </w:r>
            <w:bookmarkEnd w:id="0"/>
            <w:r>
              <w:t>商业保险费等</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2.3</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特种车辆公告：监测车公告申报费用</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2.4</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车辆改装：车辆改装、车辆管理费等</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2.5</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天线罩：含安装结构件</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2.6</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t>设备机柜：含安装结构件及机柜面板</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3</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改装要求</w:t>
            </w:r>
            <w:r>
              <w:br w:type="textWrapping"/>
            </w:r>
            <w:r>
              <w:t>（1）车顶改装：在车顶平台上部加装低风阻蜂巢玻璃钢天线罩，对车顶开孔处和天线罩底部进行有效防水处理。天线罩直径≤1100mm，高度≤580mm（含安装底座）。</w:t>
            </w:r>
            <w:r>
              <w:br w:type="textWrapping"/>
            </w:r>
            <w:r>
              <w:t>（2）车内改装：保留原车座椅，根据车型结构安装19英寸左右设备机柜，并预留一定空间用于放置其它附属设备，如线缆盘、不锈钢灭火器等。机柜要求结构稳定可靠、安装方便、可维修性好，贯彻标准化、系列化、模块化设计；在满足设备安装的情况下，尽可能做到体积小、重量轻、造型美观大方。机柜尺寸应符合GB/T 3047.1-1995《高度进制为20mm的面板、架和柜的基本尺寸系列》要求；机柜底部安装孔周围结构牢固、可靠。机柜的结构设计中留有合理的线缆走线位置。机柜设置可拆式后板。根据机柜自身重量以及机柜内设备的重量，使用无谐振减震器组（含底部及顶部），对机柜实行有效减震。</w:t>
            </w:r>
            <w:r>
              <w:br w:type="textWrapping"/>
            </w:r>
            <w:r>
              <w:t>（3）车辆改装后，车辆的性能、外观与重量、车厢密封性、安全性、可靠性等应符合《无线电管理特种车及装备配置技术要求》。车辆改装完成后向国家相关部门办理相应手续，申请并取得国家相关部门特种车辆公告号及机动车目录。车辆在交付使用时完整提供按照国家关于车辆方面相关规定的手续（包括但不限于：车辆型号铭牌、车辆发票、车辆合格证），保证可以在当地公安车辆管理部门办理车辆牌照及其他相关手续。</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4</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性能指标要求</w:t>
            </w:r>
            <w:r>
              <w:br w:type="textWrapping"/>
            </w:r>
            <w:r>
              <w:t>（1）承载车辆采用5门7座MPV车型；</w:t>
            </w:r>
            <w:r>
              <w:br w:type="textWrapping"/>
            </w:r>
            <w:r>
              <w:t>（2）车辆外观、内饰颜色在车辆采购前由采购人确认；</w:t>
            </w:r>
            <w:r>
              <w:br w:type="textWrapping"/>
            </w:r>
            <w:r>
              <w:t>（3）能源类型及环保标准：48V轻混系统，国VI B；</w:t>
            </w:r>
            <w:r>
              <w:br w:type="textWrapping"/>
            </w:r>
            <w:r>
              <w:t>（4）长(mm)</w:t>
            </w:r>
            <w:r>
              <w:rPr>
                <w:rStyle w:val="11"/>
              </w:rPr>
              <w:t>宽(mm)高(mm)：≥5200≥1800</w:t>
            </w:r>
            <w:r>
              <w:t>≥1800；轴距(mm)：≥3000；</w:t>
            </w:r>
            <w:r>
              <w:br w:type="textWrapping"/>
            </w:r>
            <w:r>
              <w:t>（5）发动机排量(L)≥2.0T可变缸涡轮增压发动机，9速智能变速箱；</w:t>
            </w:r>
            <w:r>
              <w:br w:type="textWrapping"/>
            </w:r>
            <w:r>
              <w:t>（6）发动机最大功率不低于170kW/rpm、最大扭矩不低于350N.m/rpm；</w:t>
            </w:r>
            <w:r>
              <w:br w:type="textWrapping"/>
            </w:r>
            <w:r>
              <w:t>（7）底盘悬架（前/后）：增强型麦弗逊悬挂/多连杆独立悬挂</w:t>
            </w:r>
            <w:r>
              <w:br w:type="textWrapping"/>
            </w:r>
            <w:r>
              <w:t>（8）连续行驶里程：集成后的车辆在以55%最高车速匀速行驶时，续驶里程大于600km</w:t>
            </w:r>
            <w:r>
              <w:rPr>
                <w:rFonts w:hint="eastAsia"/>
                <w:lang w:eastAsia="zh-CN"/>
              </w:rPr>
              <w:t>，</w:t>
            </w:r>
            <w:r>
              <w:t>具有良好的通过性、接近角、离地角、最小离地间隙。</w:t>
            </w:r>
            <w:r>
              <w:br w:type="textWrapping"/>
            </w:r>
            <w:r>
              <w:t>（9）其它要求：所选车辆应保证改装后车辆前、后桥满载质量不大于原车厂规定的满载质量。</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6126"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rPr>
                <w:rFonts w:hint="eastAsia" w:ascii="黑体" w:hAnsi="黑体" w:eastAsia="黑体" w:cs="黑体"/>
                <w:lang w:val="en-US" w:eastAsia="zh-CN"/>
              </w:rPr>
              <w:t>四</w:t>
            </w:r>
            <w:r>
              <w:rPr>
                <w:rFonts w:hint="eastAsia" w:ascii="黑体" w:hAnsi="黑体" w:eastAsia="黑体" w:cs="黑体"/>
              </w:rPr>
              <w:t>、商务要求</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1</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交货期</w:t>
            </w:r>
            <w:r>
              <w:br w:type="textWrapping"/>
            </w:r>
            <w:r>
              <w:t>自合同签订之日起180日。</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2</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质量保修范围和保修期</w:t>
            </w:r>
            <w:r>
              <w:br w:type="textWrapping"/>
            </w:r>
            <w:r>
              <w:t>（1）质保期：按该型车市场公开销售承诺期限执行（免费保修期自验收完成之日起计算）。</w:t>
            </w:r>
            <w:r>
              <w:br w:type="textWrapping"/>
            </w:r>
            <w:r>
              <w:t>（2）供应商应有专人负责与采购人联系售后服务事宜，具有专门固定的售后服务电话，并能提供本地化服务。</w:t>
            </w:r>
            <w:r>
              <w:br w:type="textWrapping"/>
            </w:r>
            <w:r>
              <w:t>（3）在质保期内货物出现质量问题，供应商应在接到通知后12小时内响应，24小时内完成维修。货物需更换的应在7个工作日内完成更换。逾期未完成维修或更换的，每延迟一天供应商应向采购人支付合同总价1%的违约金。</w:t>
            </w:r>
            <w:r>
              <w:br w:type="textWrapping"/>
            </w:r>
            <w:r>
              <w:t>（4）货物经供应商3次维修或更换仍不能达到本合同约定的质量标准或通过验收，视作供应商未能按时交货，采购人有权退货并追究供应商的违约责任。</w:t>
            </w:r>
            <w:r>
              <w:br w:type="textWrapping"/>
            </w:r>
            <w:r>
              <w:t>（5）供应商承诺项目全部货物的各种部件均保证齐备、充足供应，若因产品升级更新等原因不能保障供应造成采购人损失的，供应商承担全部赔偿责任。</w:t>
            </w:r>
            <w:r>
              <w:br w:type="textWrapping"/>
            </w:r>
            <w:r>
              <w:t>（6）质保期内供应商负责所有因货物质量问题而产生的费用。质保期满前一个月，供应商负责一次全面的检查、维护，并出具正式报告，如发现潜在问题，应负责排除且不收取任何费用。</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r>
        <w:tblPrEx>
          <w:tblCellMar>
            <w:top w:w="32" w:type="dxa"/>
            <w:left w:w="64" w:type="dxa"/>
            <w:bottom w:w="32" w:type="dxa"/>
            <w:right w:w="64" w:type="dxa"/>
          </w:tblCellMar>
        </w:tblPrEx>
        <w:trPr>
          <w:jc w:val="center"/>
        </w:trPr>
        <w:tc>
          <w:tcPr>
            <w:tcW w:w="9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r>
              <w:t>3</w:t>
            </w:r>
          </w:p>
        </w:tc>
        <w:tc>
          <w:tcPr>
            <w:tcW w:w="514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left"/>
            </w:pPr>
            <w:r>
              <w:rPr>
                <w:b/>
              </w:rPr>
              <w:t>验收</w:t>
            </w:r>
            <w:r>
              <w:br w:type="textWrapping"/>
            </w:r>
            <w:r>
              <w:t>符合国家、行业标准、福建省地方标准规定的验收标准。严格按照《财政部关于进一步加强政府采购需求和履约验收管理的指导意见》（财库〔2016〕205号）及《政府采购需求管理办法》（财库〔2021〕22号 ）的要求组织验收。验收应以采购合同、采购及其补充文件、国家或行业相关标准为验收的主要依据。</w:t>
            </w:r>
          </w:p>
        </w:tc>
        <w:tc>
          <w:tcPr>
            <w:tcW w:w="16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c>
          <w:tcPr>
            <w:tcW w:w="91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pPr>
          </w:p>
        </w:tc>
      </w:tr>
    </w:tbl>
    <w:p>
      <w:pPr>
        <w:spacing w:line="560" w:lineRule="exact"/>
        <w:ind w:firstLine="640" w:firstLineChars="200"/>
        <w:rPr>
          <w:rFonts w:hint="default" w:ascii="Times New Roman" w:hAnsi="Times New Roman" w:eastAsia="仿宋_GB2312" w:cs="Times New Roman"/>
          <w:sz w:val="32"/>
          <w:szCs w:val="32"/>
        </w:rPr>
      </w:pPr>
    </w:p>
    <w:p>
      <w:pPr>
        <w:pStyle w:val="4"/>
        <w:spacing w:line="560" w:lineRule="exact"/>
        <w:ind w:firstLine="420" w:firstLineChars="200"/>
        <w:rPr>
          <w:rFonts w:hint="default" w:ascii="Times New Roman" w:hAnsi="Times New Roman" w:cs="Times New Roman"/>
        </w:rPr>
      </w:pPr>
    </w:p>
    <w:p>
      <w:pPr>
        <w:spacing w:line="560" w:lineRule="exact"/>
        <w:ind w:firstLine="420" w:firstLineChars="200"/>
        <w:rPr>
          <w:rFonts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E4116"/>
    <w:rsid w:val="0C5A3CBE"/>
    <w:rsid w:val="0DE93710"/>
    <w:rsid w:val="1D6A7981"/>
    <w:rsid w:val="25723152"/>
    <w:rsid w:val="2BA22BFF"/>
    <w:rsid w:val="2C9949E8"/>
    <w:rsid w:val="32FB29DB"/>
    <w:rsid w:val="34D83B39"/>
    <w:rsid w:val="42C26A1C"/>
    <w:rsid w:val="443A7A89"/>
    <w:rsid w:val="4A317C5F"/>
    <w:rsid w:val="4BAD17C1"/>
    <w:rsid w:val="4C910EAA"/>
    <w:rsid w:val="504870C6"/>
    <w:rsid w:val="59FB4EF7"/>
    <w:rsid w:val="5E0F6B27"/>
    <w:rsid w:val="60796206"/>
    <w:rsid w:val="643B42CB"/>
    <w:rsid w:val="66696C2D"/>
    <w:rsid w:val="6AF96CA1"/>
    <w:rsid w:val="6BE1298B"/>
    <w:rsid w:val="70743FE8"/>
    <w:rsid w:val="727E5CD6"/>
    <w:rsid w:val="77043FE5"/>
    <w:rsid w:val="78A04EAD"/>
    <w:rsid w:val="791A038B"/>
    <w:rsid w:val="7E15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widowControl w:val="0"/>
      <w:snapToGrid w:val="0"/>
      <w:spacing w:line="360" w:lineRule="atLeast"/>
      <w:jc w:val="both"/>
      <w:outlineLvl w:val="0"/>
    </w:pPr>
    <w:rPr>
      <w:rFonts w:ascii="宋体" w:hAnsi="等线" w:eastAsia="等线"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ascii="Calibri" w:hAnsi="Calibri" w:eastAsia="宋体"/>
      <w:kern w:val="0"/>
      <w:sz w:val="24"/>
      <w:szCs w:val="24"/>
    </w:rPr>
  </w:style>
  <w:style w:type="character" w:styleId="10">
    <w:name w:val="Strong"/>
    <w:basedOn w:val="9"/>
    <w:qFormat/>
    <w:uiPriority w:val="0"/>
    <w:rPr>
      <w:rFonts w:cs="Times New Roman"/>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4267</Words>
  <Characters>4505</Characters>
  <Lines>0</Lines>
  <Paragraphs>0</Paragraphs>
  <TotalTime>0</TotalTime>
  <ScaleCrop>false</ScaleCrop>
  <LinksUpToDate>false</LinksUpToDate>
  <CharactersWithSpaces>4515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李旸</cp:lastModifiedBy>
  <cp:lastPrinted>2025-11-05T08:56:56Z</cp:lastPrinted>
  <dcterms:modified xsi:type="dcterms:W3CDTF">2025-11-06T07:30:31Z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eyJoZGlkIjoiYzhmYjg3MTcyZGNjZGVjMTI1YjM3MTUzOThlYzUzY2EiLCJ1c2VySWQiOiI0MDY5Mjk3MjgifQ==</vt:lpwstr>
  </property>
  <property fmtid="{D5CDD505-2E9C-101B-9397-08002B2CF9AE}" pid="4" name="ICV">
    <vt:lpwstr>5F237A85BDFE45E6AA05318BA7AFE3B6_13</vt:lpwstr>
  </property>
</Properties>
</file>