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一体化平台监测应用系统（含频率台站系统）运维项目采购要求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eastAsia="zh-CN"/>
        </w:rPr>
      </w:pPr>
    </w:p>
    <w:p>
      <w:pPr>
        <w:pStyle w:val="2"/>
        <w:rPr>
          <w:rFonts w:hint="eastAsia"/>
          <w:lang w:eastAsia="zh-CN"/>
        </w:rPr>
      </w:pPr>
      <w:r>
        <w:rPr>
          <w:rFonts w:hint="eastAsia"/>
          <w:lang w:eastAsia="zh-CN"/>
        </w:rPr>
        <w:t>一、服务范围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保障福建省无线电管理一体化平台基础平台、监测应用（含管控系统</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lang w:eastAsia="zh-CN"/>
        </w:rPr>
        <w:t>资源调配平台，</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及大数据平台）、频率台站系统（含无线电频率台站管理系统、业余无线电台站管理系统、公众移动基站数据交互系统及相关硬件设备）正常运行和系统对接，支撑无线电管理各项业务的正常开展。服务周期为一年。</w:t>
      </w:r>
    </w:p>
    <w:p>
      <w:pPr>
        <w:pStyle w:val="2"/>
        <w:rPr>
          <w:rFonts w:hint="eastAsia"/>
          <w:lang w:eastAsia="zh-CN"/>
        </w:rPr>
      </w:pPr>
      <w:r>
        <w:rPr>
          <w:rFonts w:hint="eastAsia"/>
          <w:lang w:eastAsia="zh-CN"/>
        </w:rPr>
        <w:t>二、评分方法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采用最低价中标法，在满足“三、服务内容及响应要求”、“四、商务要求”中所有要求的服务供应商中，选取报价最低的供应商作为中标候选人；若出现两家及以上满足要求且报价相同的最低价供应商，则根据材料中业绩案例数量较多的确定为中标候选人，业绩案例数量相同时以业绩案例总金额较大的确定为中标候选人，若业绩数量、金额均相同则随机抽取中标候选人。</w:t>
      </w:r>
    </w:p>
    <w:p>
      <w:pPr>
        <w:pStyle w:val="2"/>
        <w:rPr>
          <w:rFonts w:hint="eastAsia"/>
          <w:lang w:eastAsia="zh-CN"/>
        </w:rPr>
      </w:pPr>
      <w:r>
        <w:rPr>
          <w:rFonts w:hint="eastAsia"/>
          <w:lang w:eastAsia="zh-CN"/>
        </w:rPr>
        <w:t>三、服务内容及响应要求</w:t>
      </w:r>
    </w:p>
    <w:p>
      <w:pPr>
        <w:pStyle w:val="3"/>
        <w:rPr>
          <w:rFonts w:hint="eastAsia"/>
          <w:lang w:eastAsia="zh-CN"/>
        </w:rPr>
      </w:pPr>
      <w:r>
        <w:rPr>
          <w:rFonts w:hint="eastAsia"/>
          <w:lang w:eastAsia="zh-CN"/>
        </w:rPr>
        <w:t>（一）基础通用运维要求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每日（不含节假日）开展软硬件运行情况巡检，记录软件运行情况、各项主要功能可用性、网络连接和端口占用情况、数据完整性、硬件资源使用情况、与国家平台和相关系统的互联互通情况等信息，及时处理异常情况，按要求填写日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2.每日（不含节假日）检查系统日志，对日志中的错误信息、故障信息进行排查、处理，恢复系统正常，按要求填写日志记录。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3.长期开展规范性检查，对不符合国家相关规范要求的应用、站点、数据、信息等汇总报送给采购人，并提出相应的整改建议。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4.配合开展数据统计、数据核查、数据导入导出等各项工作，支撑采购人开展信息化管理的各项工作。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5.根据采购人工作安排，特殊时段按要求开展安全保障工作，保障系统正常运行，配合采购人完成特殊时段的各项工作要求。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6.定期进行数据备份，保障数据安全。根据采购人需求配合开展网络安全相关工作，修复漏洞并排除各类网络安全风险隐患。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7.完善应急响应预案，根据预案要求开展各类应急准备工作，确保应急软硬件随时可用。</w:t>
      </w:r>
    </w:p>
    <w:p>
      <w:pPr>
        <w:pStyle w:val="3"/>
        <w:rPr>
          <w:rFonts w:hint="eastAsia"/>
          <w:lang w:eastAsia="zh-CN"/>
        </w:rPr>
      </w:pPr>
      <w:r>
        <w:rPr>
          <w:rFonts w:hint="eastAsia"/>
          <w:lang w:eastAsia="zh-CN"/>
        </w:rPr>
        <w:t>（二）基础平台运维专项要求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基础平台的优化升级，包括但不限于：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提供应用系统、设施类系统、设备类系统以及服务信息注册通过接口注册的相关功能。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优化平台注册功能启用平台流程引擎，支持应用系统、设施类系统、设备类系统以及服务信息注册流程化。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支持平台内系统信息的负责人批量修改功能。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升级平台门户交互设计与视觉效果，采用轻量化布局与动态数据展示，提升操作便捷性与信息呈现效率。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完善平台用户操作日志审计功能。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 KPI 驾驶舱功能，通过可视化图表实时展示平台运行状态、服务响应效率等信息。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2.配合设施设备系统和业务应用系统完成平台接入工作，协助解决接入过程中出现的问题。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3.配合完成基础平台互联数据导出工作，根据指标模板导出相关统计数据。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4.搭建启用福建省无线电管理一体化测试平台，供系统功能测试使用。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5.按采购人要求协助开展一体化平台相关文档编撰工作。</w:t>
      </w:r>
    </w:p>
    <w:p>
      <w:pPr>
        <w:pStyle w:val="3"/>
        <w:rPr>
          <w:rFonts w:hint="eastAsia"/>
          <w:lang w:eastAsia="zh-CN"/>
        </w:rPr>
      </w:pPr>
      <w:r>
        <w:rPr>
          <w:rFonts w:hint="eastAsia"/>
          <w:lang w:eastAsia="zh-CN"/>
        </w:rPr>
        <w:t>（三）监测应用专项运维要求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.监测应用、管控系统及大数据平台</w:t>
      </w:r>
      <w:r>
        <w:rPr>
          <w:rFonts w:hint="eastAsia" w:ascii="仿宋_GB2312" w:hAnsi="仿宋_GB2312" w:eastAsia="仿宋_GB2312" w:cs="仿宋_GB2312"/>
          <w:sz w:val="32"/>
          <w:szCs w:val="32"/>
          <w:lang w:eastAsia="zh-CN"/>
        </w:rPr>
        <w:t>的优化升级，包括但不限于：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优化监测应用设施设备状态显示，确保状态显示与实际情况一致。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优化管控系统中监测设施、监测设备注册操作流程，使注册工作更加高效。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优化管控系统查询功能，使各类信息查询功能更加丰富便捷。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支持设施设备信息批量修改功能。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完善管控系统用户操作日志审计功能，使操作记录信息更加丰富全面。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优化大数据平台备份策略，根据采购人要求调整备份数量。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2.配合完成监测设施设备注册接入和各类应用的管控服务调用测试工作，协助解决调用过程中出现的问题。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3.配合用户完成管控系统互联数据统计工作，根据指标模板导出相关统计数据。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4.搭建启用福建省无线电管理一体化测试平台管控系统，供系统功能测试使用。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5.按采购人要求协助开展一体化平台相关文档编撰工作。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6.协助开展原子化服务（设备操作服务）故障排查工作。</w:t>
      </w:r>
    </w:p>
    <w:p>
      <w:pPr>
        <w:pStyle w:val="3"/>
        <w:rPr>
          <w:rFonts w:hint="eastAsia"/>
          <w:lang w:eastAsia="zh-CN"/>
        </w:rPr>
      </w:pPr>
      <w:r>
        <w:rPr>
          <w:rFonts w:hint="eastAsia"/>
          <w:lang w:eastAsia="zh-CN"/>
        </w:rPr>
        <w:t>（四）频率台站系统专项运维要求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1.按要求配合采购人开展台站数据核查工作，提供数据分析能力技术支持。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2.根据国家无线电管理机构下发的相关标准、规定，对各个业务系统的标准字典项数据完成升级。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3.优化执照生成功能，确保执照中所有信息（例如：核发时间、特别规定事项等）与系统中信息保持一致，确保生成执照编号非人为原因不跳号。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4.优化频率许可录入功能，确保系统中信息（例如：录入时间）与实际录入信息保持一致。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5.优化台站查询和首页信息显示功能，确保申请人与执照的许可关联查询结果正确显示，确保首页信息显示内容正确，确保执照查询和执照管理数据一致。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6.优化公众移动基站数据交互系统数据校验功能，确保运营商推送数据均为校验通过的数据，对未按要求填写的数据在运营商端提示用户修改。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7.优化公众移动基站数据交互系统数据推送功能，确保无线电频率台站管理系统接收到运营商的推送数据与对方提交的数据一致并保持数据同步，确保抽取数据与入库数据一致，确保运营商能够正常下载执照。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8.优化公众移动基站数据交互系统证面导出功能，提升一次性导出的证面数量上限,且以执照编号递增顺序显示。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9.优化盖章功能，确保审批过程能正常盖章。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10.优化人机交互界面，对正在执行的操作进行用户提醒，避免用户认为系统未响应而重复操作；删除操作增加二次确认，避免误操作。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11.优化频率台站管理系统执照预览功能，实现按编号排序、按申请人排序、按频率排序等多种排序方式供用户选择。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12.优化数据导出功能，确保导出结果与用户选择数据信息一致，不存在缺项、漏项、数量不一致等问题。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优化单位管理功能，新增单位信息时通过模糊搜索展示已有单位中与新增单位名称相似的数据条目，避免用户重复添加。协助用户梳理单位管理中的相关信息，清理或更新过期信息，协助用户对重复的单位进行合并或信息确认，确保申请人管理中信息能够同步至台站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14.优化频率许可证管理功能，确保许可证编号、档案号不重复，且不跳号。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15.优化数据校验功能，对于不建议输入汉字、输入内容中存在非法字符等情况，通过弹窗或其他形式提醒用户修改。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16.编制更新频率台站管理系统用户操作手册，对审批流程、常用功能、操作顺序等进行归纳描述，供用户参考。</w:t>
      </w:r>
    </w:p>
    <w:p>
      <w:pPr>
        <w:pStyle w:val="2"/>
        <w:rPr>
          <w:rFonts w:hint="eastAsia"/>
          <w:lang w:eastAsia="zh-CN"/>
        </w:rPr>
      </w:pPr>
      <w:r>
        <w:rPr>
          <w:rFonts w:hint="eastAsia"/>
          <w:lang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1.驻点人员要求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服务周期内安排一名驻点人员在采购人现场进行运维工作。要求驻点人员为本科及以上学历，专业为通信、计算机、软件、信息安全等通信或信息化相关专业</w:t>
      </w:r>
      <w:r>
        <w:rPr>
          <w:rFonts w:hint="eastAsia" w:ascii="仿宋_GB2312" w:hAnsi="仿宋_GB2312" w:eastAsia="仿宋_GB2312" w:cs="仿宋_GB2312"/>
          <w:sz w:val="32"/>
          <w:szCs w:val="32"/>
          <w:highlight w:val="none"/>
          <w:lang w:val="en-US" w:eastAsia="zh-CN"/>
        </w:rPr>
        <w:t>。（签订合同后，驻点人员到采购人指定地点报到，并提供学位证、毕业证、学信网查询结果或其他证明材料）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驻点人员按要求开展各项运维工作，并统一接收记录所有平台相关的故障、优化建议等信息，报采购人后根据采购人要求协调开展故障排除、系统优化等工作，相关工作形成日志或工单，做好资料归档整理。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2.服务供应商业绩要求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供应商提供2020年1月1日至本项目材料递交截止时间止（日期以合同签订时间为准）已完成无线电管理一体化平台相关系统应用建设或运维项目业绩证明材料，服务供应商应如实提供该业绩项目的中标公告、中标通知书、合同以及能够证明该业绩项目已经采购人验收合格的相关证明材料。未完整提供上述相关证明材料复印件的不得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3.运维服务要求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福建省无线电管理一体化平台基础平台、监测应用（含管控系统（资源调配平台）及大数据平台）、频率台站系统（含无线电频率台站管理系统、业余无线电台站管理系统、公众移动基站数据交互系统</w:t>
      </w:r>
      <w:r>
        <w:rPr>
          <w:rFonts w:hint="eastAsia" w:ascii="仿宋_GB2312" w:hAnsi="仿宋_GB2312" w:eastAsia="仿宋_GB2312" w:cs="仿宋_GB2312"/>
          <w:sz w:val="32"/>
          <w:szCs w:val="32"/>
          <w:highlight w:val="none"/>
          <w:lang w:eastAsia="zh-CN"/>
        </w:rPr>
        <w:t>及网闸、交换机、服务器等相关硬件设备</w:t>
      </w:r>
      <w:r>
        <w:rPr>
          <w:rFonts w:hint="eastAsia" w:ascii="仿宋_GB2312" w:hAnsi="仿宋_GB2312" w:eastAsia="仿宋_GB2312" w:cs="仿宋_GB2312"/>
          <w:sz w:val="32"/>
          <w:szCs w:val="32"/>
          <w:lang w:eastAsia="zh-CN"/>
        </w:rPr>
        <w:t>）维保费用均包含在本项目中。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4.验收要求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服务供应商在开展各项运维服务过程中，需做好相关记录，形成工单、日志、报告等材料，供验收时查验各项服务的执行情况。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前三季度由服务供应商提供当季度运维服务报告和合同金额25%的当期次发票后，经采购人确认后于30天内完成付款。第四季度服务完成后由采购人进行最终验收。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最终验收根据工作内容分为客观分（80分）和主观分（20分），客观分根据相关材料和实际执行情况进行评价，主观分根据用户对优化后的使用体验进行评价。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终验收中，客观分不满足相关技术要求的部分，根据重要程度和结果影响每项扣2-5分，主观分由采购人用户（含地市）进行打分。综合评价结果在80分及以上为合格，80分以下每低1分扣除合同金额的5%，剩余未支付款项不够扣除的，服务供应商应按考核结果退回相应数额款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做好人员安全、数据安全、信息安全等</w:t>
      </w:r>
      <w:r>
        <w:rPr>
          <w:rFonts w:hint="eastAsia" w:ascii="仿宋_GB2312" w:hAnsi="仿宋_GB2312" w:eastAsia="仿宋_GB2312" w:cs="仿宋_GB2312"/>
          <w:sz w:val="32"/>
          <w:szCs w:val="32"/>
          <w:lang w:val="en-US" w:eastAsia="zh-CN"/>
        </w:rPr>
        <w:t>，发现安全风险隐患及时通知采购人，因服务供应商原因导致的各类安全问题，服务供应商需承担相应的责任并赔偿采购人损失。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本标包项目实施过程中出现资源、进度、质量协调控制不力的情况，采购人有权要求更换相关项目人员，服务供应商必须予以配合并在采购人发出书面要求后10个工作日内完成更换，确保不影响服务实施的进度和质量。</w:t>
      </w:r>
    </w:p>
    <w:p>
      <w:pPr>
        <w:pStyle w:val="2"/>
        <w:rPr>
          <w:rFonts w:hint="eastAsia"/>
          <w:lang w:val="en-US" w:eastAsia="zh-CN"/>
        </w:rPr>
      </w:pPr>
      <w:r>
        <w:rPr>
          <w:rFonts w:hint="eastAsia"/>
          <w:lang w:val="en-US" w:eastAsia="zh-CN"/>
        </w:rPr>
        <w:t>五、付款方式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分为4个季度付款，每完成一个季度服务支付25%合同金额款项，支付条件见“四、商务要求”中“3.验收要求”。</w:t>
      </w:r>
    </w:p>
    <w:p>
      <w:pPr>
        <w:pStyle w:val="2"/>
        <w:rPr>
          <w:rFonts w:hint="eastAsia"/>
          <w:lang w:eastAsia="zh-CN"/>
        </w:rPr>
      </w:pPr>
      <w:r>
        <w:rPr>
          <w:rFonts w:hint="eastAsia"/>
          <w:lang w:eastAsia="zh-CN"/>
        </w:rPr>
        <w:t>六、违约条款</w:t>
      </w:r>
    </w:p>
    <w:p>
      <w:pPr>
        <w:pStyle w:val="3"/>
        <w:rPr>
          <w:rFonts w:hint="eastAsia" w:ascii="Arial" w:hAnsi="Arial" w:eastAsia="仿宋_GB2312" w:cstheme="minorBidi"/>
          <w:b w:val="0"/>
          <w:bCs/>
          <w:sz w:val="32"/>
          <w:szCs w:val="24"/>
          <w:lang w:eastAsia="zh-CN"/>
        </w:rPr>
      </w:pPr>
      <w:r>
        <w:rPr>
          <w:rFonts w:hint="eastAsia" w:ascii="仿宋_GB2312" w:hAnsi="仿宋_GB2312" w:eastAsia="仿宋_GB2312" w:cs="仿宋_GB2312"/>
          <w:b w:val="0"/>
          <w:bCs/>
          <w:sz w:val="32"/>
          <w:szCs w:val="24"/>
          <w:lang w:val="en-US" w:eastAsia="zh-CN"/>
        </w:rPr>
        <w:t>1.</w:t>
      </w:r>
      <w:r>
        <w:rPr>
          <w:rFonts w:hint="eastAsia" w:ascii="Arial" w:hAnsi="Arial" w:eastAsia="仿宋_GB2312" w:cstheme="minorBidi"/>
          <w:b w:val="0"/>
          <w:bCs/>
          <w:sz w:val="32"/>
          <w:szCs w:val="24"/>
          <w:lang w:eastAsia="zh-CN"/>
        </w:rPr>
        <w:t>安全责任违约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发生人身或财产安全事故，除按国家有关法律法规、安全管理规定及采购人有关安全管理办法执行外，并报相关行政主管部门处罚；发生重大安全事故或特大安全事故，除按国家有关法律法规、管理规定及采购人有关管理办法执行外，采购人有权单方面终止合同，并要求服务供应商按合同总价款30%支付违约金；给采购人造成的损失，服务供应商还应承担赔偿责任。</w:t>
      </w:r>
    </w:p>
    <w:p>
      <w:pPr>
        <w:pStyle w:val="3"/>
        <w:rPr>
          <w:rFonts w:hint="eastAsia" w:ascii="Arial" w:hAnsi="Arial" w:eastAsia="仿宋_GB2312" w:cstheme="minorBidi"/>
          <w:b w:val="0"/>
          <w:bCs/>
          <w:sz w:val="32"/>
          <w:szCs w:val="24"/>
          <w:lang w:eastAsia="zh-CN"/>
        </w:rPr>
      </w:pPr>
      <w:r>
        <w:rPr>
          <w:rFonts w:hint="eastAsia" w:ascii="仿宋_GB2312" w:hAnsi="仿宋_GB2312" w:eastAsia="仿宋_GB2312" w:cs="仿宋_GB2312"/>
          <w:b w:val="0"/>
          <w:bCs/>
          <w:sz w:val="32"/>
          <w:szCs w:val="24"/>
          <w:lang w:val="en-US" w:eastAsia="zh-CN"/>
        </w:rPr>
        <w:t>2.</w:t>
      </w:r>
      <w:r>
        <w:rPr>
          <w:rFonts w:hint="eastAsia" w:ascii="Arial" w:hAnsi="Arial" w:eastAsia="仿宋_GB2312" w:cstheme="minorBidi"/>
          <w:b w:val="0"/>
          <w:bCs/>
          <w:sz w:val="32"/>
          <w:szCs w:val="24"/>
          <w:lang w:eastAsia="zh-CN"/>
        </w:rPr>
        <w:t>服务供应商违约责任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如果服务供应商未能按合同规定的时间提供服务的(不可抗力因素除外)，服务供应商应当向采购人支付服务延期违约金。服务延期违约时间自合同约定的服务起止时间，合同未约定的按合同签订之日后三个工作日为服务开始时间。服务延期违约金比率为无法按要求提供服务每一天，服务供应商应按合同金额的千分之五向采购人支付，并延长服务周期直至补足一个自然年的天数。采购人有权从未付的合同款项中扣除服务延期违约金，因此给采购人造成损失的，还应赔偿采购人所受的损失(服务供应商同意赔偿损失的范围其中包括采购人为此支出的律师费、诉讼费、执行费等)。服务延期违约金的支付总额不得超过合同金额的15%，否则合同终止并由采购人追究服务供应商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服务供应商所提供的服务不符合合同规定及采购人招标文件、服务供应商投标文件规定标准的，采购人有权按照服务考核要求规定的内容进行评分扣款并要求服务供应商进行整改。服务供应商拒绝整改或整改后仍不满足相关标准的，视为服务供应商违约。考核结果低于60分的，采购人有权单方面解除合同，并要求服务供应商按合同总价款的15%支付违约金。违约金不足以补偿采购人损失的，采购人有权要求服务供应商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）服务过程中，服务供应商未经采购人允许，不得</w:t>
      </w:r>
      <w:r>
        <w:rPr>
          <w:rFonts w:hint="eastAsia" w:ascii="仿宋_GB2312" w:hAnsi="仿宋_GB2312" w:eastAsia="仿宋_GB2312" w:cs="仿宋_GB2312"/>
          <w:sz w:val="32"/>
          <w:szCs w:val="32"/>
          <w:highlight w:val="none"/>
          <w:lang w:eastAsia="zh-CN"/>
        </w:rPr>
        <w:t>私自更换驻场人员；</w:t>
      </w:r>
      <w:r>
        <w:rPr>
          <w:rFonts w:hint="eastAsia" w:ascii="仿宋_GB2312" w:hAnsi="仿宋_GB2312" w:eastAsia="仿宋_GB2312" w:cs="仿宋_GB2312"/>
          <w:sz w:val="32"/>
          <w:szCs w:val="32"/>
          <w:lang w:eastAsia="zh-CN"/>
        </w:rPr>
        <w:t>若服务供应商</w:t>
      </w:r>
      <w:r>
        <w:rPr>
          <w:rFonts w:hint="eastAsia" w:ascii="仿宋_GB2312" w:hAnsi="仿宋_GB2312" w:eastAsia="仿宋_GB2312" w:cs="仿宋_GB2312"/>
          <w:sz w:val="32"/>
          <w:szCs w:val="32"/>
          <w:highlight w:val="none"/>
          <w:lang w:eastAsia="zh-CN"/>
        </w:rPr>
        <w:t>私自更换驻场人员的</w:t>
      </w:r>
      <w:r>
        <w:rPr>
          <w:rFonts w:hint="eastAsia" w:ascii="仿宋_GB2312" w:hAnsi="仿宋_GB2312" w:eastAsia="仿宋_GB2312" w:cs="仿宋_GB2312"/>
          <w:sz w:val="32"/>
          <w:szCs w:val="32"/>
          <w:lang w:eastAsia="zh-CN"/>
        </w:rPr>
        <w:t>，采购人有权单方面解除合同，服务供应商还应承担由于私自变更驻场人员导致的各种损失。对于采购人提出因故更换驻场人员的，服务供应商应及时予以响应；若采购人提出的理由不合理，服务供应商应在规定时限内予以答复；若采购人提出的理由合理，服务供应商应在规定时限内更换驻场人员并按要求提供资质佐证材料，未按要求更换驻场人员并提交材料的，按服务延期处理。服务供应商未按要求更换驻场人员或延期超过</w:t>
      </w:r>
      <w:r>
        <w:rPr>
          <w:rFonts w:hint="eastAsia" w:ascii="仿宋_GB2312" w:hAnsi="仿宋_GB2312" w:eastAsia="仿宋_GB2312" w:cs="仿宋_GB2312"/>
          <w:sz w:val="32"/>
          <w:szCs w:val="32"/>
          <w:lang w:val="en-US" w:eastAsia="zh-CN"/>
        </w:rPr>
        <w:t>15个工作日仍未完成更换的</w:t>
      </w:r>
      <w:r>
        <w:rPr>
          <w:rFonts w:hint="eastAsia" w:ascii="仿宋_GB2312" w:hAnsi="仿宋_GB2312" w:eastAsia="仿宋_GB2312" w:cs="仿宋_GB2312"/>
          <w:sz w:val="32"/>
          <w:szCs w:val="32"/>
          <w:lang w:eastAsia="zh-CN"/>
        </w:rPr>
        <w:t>，采购人有权单方面解除合同，并要求服务供应商按合同总价款的15%支付违约金。违约金不足以补偿采购人损失的，采购人有权要求服务供应商赔偿损失。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合同结束后未完成工作移交或交接材料存在缺漏的，经采购人书面提醒后三个工作日内（以书面材料送达时间起计算，若服务供应商拒收则按拒收时间起计算）仍未按要求完成工作移交、材料整改提交等，视为服务供应商违约，服务供应商应按合同总价款的5%支付违约金。因服务供应商延期移交导致采购人损失，违约金不足以补偿采购人损失的，采购人有权要求服务供应商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因服务供应商原因导致采购人内部信息泄露的，采购人予以书面警告并要求服务供应商按合同总价款的5%支付违约金，采购人有权直接在当期季度考核支付款项中扣除违约金。警告达到三次或因服务供应商原因导致采购人被上级主管部门通报的或因服务供应商原因导致采购人遭受重大损失的，采购人有权单方面解除合同，并要求服务供应商按合同总价款的15%支付违约金。违约金不足以补偿采购人损失的，采购人有权要求服务供应商赔偿损失。本条款不受合同期限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服务供应商提交的运维材料中存在虚假材料、不实材料等弄虚作假行为的，采购人予以书面警告并要求整改。警告达到三次或导致采购人被上级主管部门通报的，采购人有权单方面解除合同，并要求服务供应商按合同总价款的15%支付违约金。违约金不足以补偿采购人损失的，采购人有权要求服务供应商赔偿损失。本条款不受合同期限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存在风险漏洞、网络安全隐患、故障告警等可能影响设施设备和系统安全和正常运行的问题，服务供应商应及时通知采购人并按采购人要求进行问题排除。因服务供应商未及时通知采购人、服务供应商瞒报漏报实际情况或未按采购人要求开展问题排除工作，导致软硬件损坏、数据丢失或数据泄露等严重事故的，按服务供应商违约处理，服务供应商按合同总价款的15%支付违约金。违约金不足以补偿采购人损失的，采购人有权要求服务供应商赔偿损失。</w:t>
      </w:r>
    </w:p>
    <w:p>
      <w:pPr>
        <w:pStyle w:val="2"/>
        <w:rPr>
          <w:rFonts w:hint="eastAsia"/>
          <w:lang w:eastAsia="zh-CN"/>
        </w:rPr>
      </w:pPr>
      <w:r>
        <w:rPr>
          <w:rFonts w:hint="eastAsia"/>
          <w:lang w:eastAsia="zh-CN"/>
        </w:rPr>
        <w:t>七、参考标准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第1部分：服务治理》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第2部分：统一身份》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第3部分：平台级互联互通》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第4部分：应用安全》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第5部分：地理信息》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第1部分：总体架构》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第2部分：服务设计》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第3部分：设备操作服务》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第4部分：监测数据平台》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第5部分：监测资源调配系统》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《业余无线电台管理办法》（工信部令第67号）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《工业和信息化部办公厅关于进一步优化业余无线电管理有关事宜的通知》（工信厅无〔2024〕71号）</w:t>
      </w:r>
    </w:p>
    <w:p>
      <w:pPr>
        <w:pStyle w:val="2"/>
        <w:rPr>
          <w:rFonts w:hint="eastAsia"/>
          <w:lang w:val="en-US" w:eastAsia="zh-CN"/>
        </w:rPr>
      </w:pPr>
      <w:r>
        <w:rPr>
          <w:rFonts w:hint="eastAsia"/>
          <w:lang w:val="en-US" w:eastAsia="zh-CN"/>
        </w:rPr>
        <w:t>八、服务内容及商务要求响应模板</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170"/>
        <w:gridCol w:w="317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pStyle w:val="2"/>
              <w:spacing w:line="240" w:lineRule="auto"/>
              <w:ind w:left="0" w:leftChars="0" w:firstLine="0" w:firstLineChars="0"/>
              <w:jc w:val="center"/>
              <w:rPr>
                <w:rFonts w:hint="eastAsia"/>
                <w:sz w:val="32"/>
                <w:szCs w:val="24"/>
                <w:lang w:eastAsia="zh-CN"/>
              </w:rPr>
            </w:pPr>
            <w:r>
              <w:rPr>
                <w:rFonts w:hint="eastAsia"/>
                <w:sz w:val="28"/>
                <w:szCs w:val="22"/>
                <w:lang w:eastAsia="zh-CN"/>
              </w:rPr>
              <w:t>序号</w:t>
            </w:r>
          </w:p>
        </w:tc>
        <w:tc>
          <w:tcPr>
            <w:tcW w:w="3170" w:type="dxa"/>
            <w:vAlign w:val="center"/>
          </w:tcPr>
          <w:p>
            <w:pPr>
              <w:pStyle w:val="2"/>
              <w:spacing w:line="240" w:lineRule="auto"/>
              <w:ind w:left="0" w:leftChars="0" w:firstLine="0" w:firstLineChars="0"/>
              <w:jc w:val="center"/>
              <w:rPr>
                <w:rFonts w:hint="eastAsia"/>
                <w:sz w:val="28"/>
                <w:szCs w:val="22"/>
                <w:lang w:eastAsia="zh-CN"/>
              </w:rPr>
            </w:pPr>
            <w:r>
              <w:rPr>
                <w:rFonts w:hint="eastAsia"/>
                <w:sz w:val="28"/>
                <w:szCs w:val="22"/>
                <w:lang w:eastAsia="zh-CN"/>
              </w:rPr>
              <w:t>要求内容</w:t>
            </w:r>
          </w:p>
        </w:tc>
        <w:tc>
          <w:tcPr>
            <w:tcW w:w="3170" w:type="dxa"/>
            <w:vAlign w:val="center"/>
          </w:tcPr>
          <w:p>
            <w:pPr>
              <w:pStyle w:val="2"/>
              <w:spacing w:line="240" w:lineRule="auto"/>
              <w:ind w:left="0" w:leftChars="0" w:firstLine="0" w:firstLineChars="0"/>
              <w:jc w:val="center"/>
              <w:rPr>
                <w:rFonts w:hint="eastAsia"/>
                <w:sz w:val="28"/>
                <w:szCs w:val="22"/>
                <w:lang w:eastAsia="zh-CN"/>
              </w:rPr>
            </w:pPr>
            <w:r>
              <w:rPr>
                <w:rFonts w:hint="eastAsia"/>
                <w:sz w:val="28"/>
                <w:szCs w:val="22"/>
                <w:lang w:eastAsia="zh-CN"/>
              </w:rPr>
              <w:t>响应内容</w:t>
            </w:r>
          </w:p>
        </w:tc>
        <w:tc>
          <w:tcPr>
            <w:tcW w:w="1381" w:type="dxa"/>
            <w:vAlign w:val="center"/>
          </w:tcPr>
          <w:p>
            <w:pPr>
              <w:pStyle w:val="2"/>
              <w:spacing w:line="240" w:lineRule="auto"/>
              <w:ind w:left="0" w:leftChars="0" w:firstLine="0" w:firstLineChars="0"/>
              <w:jc w:val="center"/>
              <w:rPr>
                <w:rFonts w:hint="eastAsia"/>
                <w:sz w:val="28"/>
                <w:szCs w:val="22"/>
                <w:lang w:eastAsia="zh-CN"/>
              </w:rPr>
            </w:pPr>
            <w:r>
              <w:rPr>
                <w:rFonts w:hint="eastAsia"/>
                <w:sz w:val="28"/>
                <w:szCs w:val="22"/>
                <w:lang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tcPr>
          <w:p>
            <w:pPr>
              <w:pStyle w:val="2"/>
              <w:ind w:left="0" w:leftChars="0" w:firstLine="0" w:firstLineChars="0"/>
              <w:rPr>
                <w:rFonts w:hint="eastAsia" w:ascii="仿宋_GB2312" w:hAnsi="仿宋_GB2312" w:eastAsia="仿宋_GB2312" w:cs="仿宋_GB2312"/>
                <w:sz w:val="32"/>
                <w:szCs w:val="32"/>
                <w:vertAlign w:val="baseline"/>
                <w:lang w:val="en-US" w:eastAsia="zh-CN"/>
              </w:rPr>
            </w:pPr>
            <w:r>
              <w:rPr>
                <w:rFonts w:hint="eastAsia"/>
                <w:lang w:eastAsia="zh-CN"/>
              </w:rPr>
              <w:t>三、服务内容及响应要求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（一）基础通用运维要求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每日（不含节假日）开展软硬件运行情况巡检，记录软件运行情况、各项主要功能可用性、网络连接和端口占用情况、数据完整性、硬件资源使用情况、与国家平台和相关系统的互联互通情况等信息，及时处理异常情况，按要求填写日志记录。</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lang w:val="en-US" w:eastAsia="zh-CN"/>
              </w:rPr>
              <w:t>范例：我公司提供服务能够满足每日（不含节假日）开展软硬件运行情况巡检工作要求，由驻场人员负责记录软件运行情况、各项主要功能可用性、网络连接和端口占用情况、数据完整性、硬件资源使用情况、与国家平台和相关系统的互联互通情况等信息，协调后端技术人员及时处理异常情况，由驻场人员负责按要求填写并提交日志记录。（根据实际所能提供服务情况填写）</w:t>
            </w: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范例：无偏离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每日（不含节假日）检查系统日志，对日志中的错误信息、故障信息进行排查、处理，恢复系统正常，按要求填写日志记录。</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长期开展规范性检查，对不符合国家相关规范要求的应用、站点、数据、信息等汇总报送给采购人，并提出相应的整改建议。</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配合开展数据统计、数据核查、数据导入导出等各项工作，支撑采购人开展信息化管理的各项工作。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根据采购人工作安排，特殊时段按要求开展安全保障工作，保障系统正常运行，配合采购人完成特殊时段的各项工作要求。</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定期进行数据备份，保障数据安全。根据采购人需求配合开展网络安全相关工作，修复漏洞并排除各类网络安全风险隐患。</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完善应急响应预案，根据预案要求开展各类应急准备工作，确保应急软硬件随时可用。</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3"/>
              <w:ind w:left="0" w:leftChars="0" w:firstLine="0" w:firstLineChars="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val="0"/>
                <w:kern w:val="2"/>
                <w:sz w:val="32"/>
                <w:szCs w:val="32"/>
                <w:vertAlign w:val="baseline"/>
                <w:lang w:val="en-US" w:eastAsia="zh-CN" w:bidi="ar-SA"/>
              </w:rPr>
              <w:t>（二）基础平台运维专项要求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提供应用系统、设施类系统、设备类系统以及服务信息注册通过接口注册的相关功能。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优化平台注册功能启用平台流程引擎，支持应用系统、设施类系统、设备类系统以及服务信息注册流程化。</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支持平台内系统信息的负责人批量修改功能。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升级平台门户交互设计与视觉效果，采用轻量化布局与动态数据展示，提升操作便捷性与信息呈现效率。</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完善平台用户操作日志审计功能。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完善 KPI 驾驶舱功能，通过可视化图表实时展示平台运行状态、服务响应效率等信息。</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配合设施设备系统和业务应用系统完成平台接入工作，协助解决接入过程中出现的问题。</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配合完成基础平台互联数据导出工作，根据指标模板导出相关统计数据。</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搭建启用福建省无线电管理一体化测试平台，供系统功能测试使用。</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按采购人要求协助开展一体化平台相关文档编撰工作。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3"/>
              <w:ind w:left="0" w:leftChars="0" w:firstLine="0" w:firstLineChars="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val="0"/>
                <w:kern w:val="2"/>
                <w:sz w:val="32"/>
                <w:szCs w:val="32"/>
                <w:vertAlign w:val="baseline"/>
                <w:lang w:val="en-US" w:eastAsia="zh-CN" w:bidi="ar-SA"/>
              </w:rPr>
              <w:t>（三）监测应用专项运维要求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优化监测应用设施设备状态显示，确保状态显示与实际情况一致。</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优化管控系统中监测设施、监测设备注册操作流程，使注册工作更加高效。</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优化管控系统查询功能，使各类信息查询功能更加丰富便捷。</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支持设施设备信息批量修改功能。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完善管控系统用户操作日志审计功能，使操作记录信息更加丰富全面。</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优化大数据平台备份策略，根据采购人要求调整备份数量。</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配合完成监测设施设备注册接入和各类应用的管控服务调用测试工作，协助解决调用过程中出现的问题。</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配合用户完成管控系统互联数据统计工作，根据指标模板导出相关统计数据。</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搭建启用福建省无线电管理一体化测试平台管控系统，供系统功能测试使用。</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按采购人要求协助开展一体化平台相关文档编撰工作。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协助开展原子化服务（设备操作服务）故障排查工作。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3"/>
              <w:ind w:left="0" w:leftChars="0" w:firstLine="0" w:firstLineChars="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val="0"/>
                <w:kern w:val="2"/>
                <w:sz w:val="32"/>
                <w:szCs w:val="32"/>
                <w:vertAlign w:val="baseline"/>
                <w:lang w:val="en-US" w:eastAsia="zh-CN" w:bidi="ar-SA"/>
              </w:rPr>
              <w:t>（四）频率台站系统专项运维要求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1.按要求配合采购人开展台站数据核查工作，提供数据分析能力技术支持。</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根据国家无线电管理机构下发的相关标准、规定，对各个业务系统的标准字典项数据完成升级。</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优化执照生成功能，确保执照中所有信息（例如：核发时间、特别规定事项等）与系统中信息保持一致，确保生成执照编号非人为原因不跳号。</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优化频率许可录入功能，确保系统中信息（例如：录入时间）与实际录入信息保持一致。</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优化台站查询和首页信息显示功能，确保申请人与执照的许可关联查询结果正确显示，确保首页信息显示内容正确，确保执照查询和执照管理数据一致。</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优化公众移动基站数据交互系统数据校验功能，确保运营商推送数据均为校验通过的数据，对未按要求填写的数据在运营商端提示用户修改。</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优化公众移动基站数据交互系统数据推送功能，确保无线电频率台站管理系统接收到运营商的推送数据与对方提交的数据一致并保持数据同步，确保抽取数据与入库数据一致，确保运营商能够正常下载执照。</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优化公众移动基站数据交互系统证面导出功能，提升一次性导出的证面数量上限,且以执照编号递增顺序显示。</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优化盖章功能，确保审批过程能正常盖章。</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优化人机交互界面，对正在执行的操作进行用户提醒，避免用户认为系统未响应而重复操作；删除操作增加二次确认，避免误操作。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优化频率台站管理系统执照预览功能，实现按编号排序、按申请人排序、按频率排序等多种排序方式供用户选择。</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优化数据导出功能，确保导出结果与用户选择数据信息一致，不存在缺项、漏项、数量不一致等问题。</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单位管理功能，新增单位信息时通过模糊搜索展示已有单位中与新增单位名称相似的数据条目，避免用户重复添加。协助用户梳理单位管理中的相关信息，清理或更新过期信息，协助用户对重复的单位进行合并或信息确认，确保申请人管理中信息能够同步至台站管理。</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优化频率许可证管理功能，确保许可证编号、档案号不重复，且不跳号。</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优化数据校验功能，对于不建议输入汉字、输入内容中存在非法字符等情况，通过弹窗或其他形式提醒用户修改。</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编制更新频率台站管理系统用户操作手册，对审批流程、常用功能、操作顺序等进行归纳描述，供用户参考。</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2"/>
              <w:ind w:left="0" w:leftChars="0" w:firstLine="0" w:firstLineChars="0"/>
              <w:rPr>
                <w:rFonts w:hint="eastAsia" w:ascii="仿宋_GB2312" w:hAnsi="仿宋_GB2312" w:eastAsia="仿宋_GB2312" w:cs="仿宋_GB2312"/>
                <w:sz w:val="21"/>
                <w:szCs w:val="21"/>
                <w:vertAlign w:val="baseline"/>
                <w:lang w:val="en-US" w:eastAsia="zh-CN"/>
              </w:rPr>
            </w:pPr>
            <w:r>
              <w:rPr>
                <w:rFonts w:hint="eastAsia"/>
                <w:lang w:eastAsia="zh-CN"/>
              </w:rPr>
              <w:t>四、商务要求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驻点人员要求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lang w:val="en-US" w:eastAsia="zh-CN"/>
              </w:rPr>
              <w:t>服务周期内安排一名驻点人员在采购人现场进行运维工作。要求驻点人员为本科及以上学历，专业为通信、计算机、软件、信息安全等通信或信息化相关专业。</w:t>
            </w:r>
            <w:r>
              <w:rPr>
                <w:rFonts w:hint="eastAsia" w:ascii="仿宋_GB2312" w:hAnsi="仿宋_GB2312" w:eastAsia="仿宋_GB2312" w:cs="仿宋_GB2312"/>
                <w:sz w:val="21"/>
                <w:szCs w:val="21"/>
                <w:highlight w:val="none"/>
                <w:lang w:val="en-US" w:eastAsia="zh-CN"/>
              </w:rPr>
              <w:t>（签订合同后，驻点人员到采购人指定地点报到，并提供学位证、毕业证、学信网查询结果或其他证明材料）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驻点人员按要求开展各项运维工作，并统一接收记录所有平台相关的故障、优化建议等信息，报采购人后根</w:t>
            </w:r>
            <w:bookmarkStart w:id="0" w:name="_GoBack"/>
            <w:bookmarkEnd w:id="0"/>
            <w:r>
              <w:rPr>
                <w:rFonts w:hint="eastAsia" w:ascii="仿宋_GB2312" w:hAnsi="仿宋_GB2312" w:eastAsia="仿宋_GB2312" w:cs="仿宋_GB2312"/>
                <w:sz w:val="21"/>
                <w:szCs w:val="21"/>
                <w:lang w:val="en-US" w:eastAsia="zh-CN"/>
              </w:rPr>
              <w:t>据采购人要求协调开展故障排除、系统优化等工作，相关工作形成日志或工单，做好资料归档整理。</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服务供应商业绩要求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服务供应商提供2020年1月1日至本项目材料递交截止时间止（日期以合同签订时间为准）已完成无线电管理一体化平台相关系统应用建设或运维项目业绩证明材料，服务供应商应如实提供该业绩项目的中标公告、中标通知书、合同以及能够证明该业绩项目已经采购人验收合格的相关证明材料。未完整提供上述相关证明材料复印件的不得分。</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佐证材料（可另附页）</w:t>
            </w: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运维服务要求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福建省无线电管理一体化平台基础平台、监测应用（含管控系统（资源调配平台）及大数据平台）、频率台站系统（含无线电频率台站管理系统、业余无线电台站管理系统、公众移动基站数据交互系统及网闸、交换机、服务器等相关硬件设备）维保费用均包含在本项目中。</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验收要求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服务供应商在开展各项运维服务过程中，需做好相关记录，形成工单、日志、报告等材料，供验收时查验各项服务的执行情况。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前三季度由服务供应商提供当季度运维服务报告和合同金额25%的当期次发票后，经采购人确认后于30天内完成付款。第四季度服务完成后由采购人进行最终验收。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最终验收根据工作内容分为客观分（80分）和主观分（20分），客观分根据相关材料和实际执行情况进行评价，主观分根据用户对优化后的使用体验进行评价。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最终验收中，客观分不满足相关技术要求的部分，根据重要程度和结果影响每项扣2-5分，主观分由采购人用户（含地市）进行打分。综合评价结果在80分及以上为合格，80分以下每低1分扣除合同金额的5%，剩余未支付款项不够扣除的，服务供应商应按考核结果退回相应数额款项。</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做好人员安全、数据安全、信息安全等，发现安全风险隐患及时通知采购人，因服务供应商原因导致的各类安全问题，服务供应商需承担相应的责任并赔偿采购人损失。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在本标包项目实施过程中出现资源、进度、质量协调控制不力的情况，采购人有权要求更换相关项目人员，服务供应商必须予以配合并在采购人发出书面要求后10个工作日内完成更换，确保不影响服务实施的进度和质量。</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2"/>
              <w:ind w:left="0" w:leftChars="0" w:firstLine="0" w:firstLineChars="0"/>
              <w:rPr>
                <w:rFonts w:hint="eastAsia" w:ascii="仿宋_GB2312" w:hAnsi="仿宋_GB2312" w:eastAsia="仿宋_GB2312" w:cs="仿宋_GB2312"/>
                <w:sz w:val="21"/>
                <w:szCs w:val="21"/>
                <w:vertAlign w:val="baseline"/>
                <w:lang w:val="en-US" w:eastAsia="zh-CN"/>
              </w:rPr>
            </w:pPr>
            <w:r>
              <w:rPr>
                <w:rFonts w:hint="eastAsia"/>
                <w:lang w:eastAsia="zh-CN"/>
              </w:rPr>
              <w:t>六、违约条款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安全责任违约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若发生人身或财产安全事故，除按国家有关法律法规、安全管理规定及采购人有关安全管理办法执行外，并报相关行政主管部门处罚；发生重大安全事故或特大安全事故，除按国家有关法律法规、管理规定及采购人有关管理办法执行外，采购人有权单方面终止合同，并要求服务供应商按合同总价款30%支付违约金；给采购人造成的损失，服务供应商还应承担赔偿责任。</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2.服务供应商违约责任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如果服务供应商未能按合同规定的时间提供服务的(不可抗力因素除外)，服务供应商应当向采购人支付服务延期违约金。服务延期违约时间自合同约定的服务起止时间，合同未约定的按合同签订之日后三个工作日为服务开始时间。服务延期违约金比率为无法按要求提供服务每一天，服务供应商应按合同金额的千分之五向采购人支付，并延长服务周期直至补足一个自然年的天数。采购人有权从未付的合同款项中扣除服务延期违约金，因此给采购人造成损失的，还应赔偿采购人所受的损失(服务供应商同意赔偿损失的范围其中包括采购人为此支出的律师费、诉讼费、执行费等)。服务延期违约金的支付总额不得超过合同金额的15%，否则合同终止并由采购人追究服务供应商相应责任。</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供应商所提供的服务不符合合同规定及采购人招标文件、服务供应商投标文件规定标准的，采购人有权按照服务考核要求规定的内容进行评分扣款并要求服务供应商进行整改。服务供应商拒绝整改或整改后仍不满足相关标准的，视为服务供应商违约。考核结果低于60分的，采购人有权单方面解除合同，并要求服务供应商按合同总价款的15%支付违约金。违约金不足以补偿采购人损失的，采购人有权要求服务供应商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过程中，服务供应商未经采购人允许，不得私自更换驻场人员；若服务供应商私自更换驻场人员的，采购人有权单方面解除合同，服务供应商还应承担由于私自变更驻场人员导致的各种损失。对于采购人提出因故更换驻场人员的，服务供应商应及时予以响应；若采购人提出的理由不合理，服务供应商应在规定时限内予以答复；若采购人提出的理由合理，服务供应商应在规定时限内更换驻场人员并按要求提供资质佐证材料，未按要求更换驻场人员并提交材料的，按服务延期处理。服务供应商未按要求更换驻场人员或延期超过15个工作日仍未完成更换的，采购人有权单方面解除合同，并要求服务供应商按合同总价款的15%支付违约金。违约金不足以补偿采购人损失的，采购人有权要求服务供应商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合同结束后未完成工作移交或交接材料存在缺漏的，经采购人书面提醒后三个工作日内（以书面材料送达时间起计算，若服务供应商拒收则按拒收时间起计算）仍未按要求完成工作移交、材料整改提交等，视为服务供应商违约，服务供应商应按合同总价款的5%支付违约金。因服务供应商延期移交导致采购人损失，违约金不足以补偿采购人损失的，采购人有权要求服务供应商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因服务供应商原因导致采购人内部信息泄露的，采购人予以书面警告并要求服务供应商按合同总价款的5%支付违约金，采购人有权直接在当期季度考核支付款项中扣除违约金。警告达到三次或因服务供应商原因导致采购人被上级主管部门通报的或因服务供应商原因导致采购人遭受重大损失的，采购人有权单方面解除合同，并要求服务供应商按合同总价款的15%支付违约金。违约金不足以补偿采购人损失的，采购人有权要求服务供应商赔偿损失。本条款不受合同期限约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供应商提交的运维材料中存在虚假材料、不实材料等弄虚作假行为的，采购人予以书面警告并要求整改。警告达到三次或导致采购人被上级主管部门通报的，采购人有权单方面解除合同，并要求服务供应商按合同总价款的15%支付违约金。违约金不足以补偿采购人损失的，采购人有权要求服务供应商赔偿损失。本条款不受合同期限约束。</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（7）</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存在风险漏洞、网络安全隐患、故障告警等可能影响设施设备和系统安全和正常运行的问题，服务供应商应及时通知采购人并按采购人要求进行问题排除。因服务供应商未及时通知采购人、服务供应商瞒报漏报实际情况或未按采购人要求开展问题排除工作，导致软硬件损坏、数据丢失或数据泄露等严重事故的，按服务供应商违约处理，服务供应商按合同总价款的15%支付违约金。违约金不足以补偿采购人损失的，采购人有权要求服务供应商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07B2E"/>
    <w:rsid w:val="002B7374"/>
    <w:rsid w:val="00431D53"/>
    <w:rsid w:val="011A6884"/>
    <w:rsid w:val="01BC1F57"/>
    <w:rsid w:val="04AD0AA7"/>
    <w:rsid w:val="06880C51"/>
    <w:rsid w:val="07A514FB"/>
    <w:rsid w:val="07AF13EC"/>
    <w:rsid w:val="085B49C5"/>
    <w:rsid w:val="0A3E53FE"/>
    <w:rsid w:val="0AA14B3A"/>
    <w:rsid w:val="0CFC2B41"/>
    <w:rsid w:val="0D544FCE"/>
    <w:rsid w:val="0D6511B8"/>
    <w:rsid w:val="0F4F63B4"/>
    <w:rsid w:val="10C571AE"/>
    <w:rsid w:val="116A5C3B"/>
    <w:rsid w:val="12A25C4D"/>
    <w:rsid w:val="12FF3E9C"/>
    <w:rsid w:val="14B6409D"/>
    <w:rsid w:val="16A07B2E"/>
    <w:rsid w:val="16BE18DD"/>
    <w:rsid w:val="1727561E"/>
    <w:rsid w:val="18EE27E8"/>
    <w:rsid w:val="19193911"/>
    <w:rsid w:val="196C4B77"/>
    <w:rsid w:val="1A700E93"/>
    <w:rsid w:val="1D69410E"/>
    <w:rsid w:val="1FB36B9A"/>
    <w:rsid w:val="200B2CCD"/>
    <w:rsid w:val="212713AD"/>
    <w:rsid w:val="225D5840"/>
    <w:rsid w:val="2571038D"/>
    <w:rsid w:val="25B832C5"/>
    <w:rsid w:val="26D560A5"/>
    <w:rsid w:val="28CB205A"/>
    <w:rsid w:val="2BF46316"/>
    <w:rsid w:val="2C640AA3"/>
    <w:rsid w:val="2F06763C"/>
    <w:rsid w:val="30DD4B88"/>
    <w:rsid w:val="31327551"/>
    <w:rsid w:val="33307062"/>
    <w:rsid w:val="33405EA4"/>
    <w:rsid w:val="354672DB"/>
    <w:rsid w:val="377859D5"/>
    <w:rsid w:val="38795D50"/>
    <w:rsid w:val="38EE2C6C"/>
    <w:rsid w:val="3905316D"/>
    <w:rsid w:val="39551C59"/>
    <w:rsid w:val="3A0F0815"/>
    <w:rsid w:val="3A8905E4"/>
    <w:rsid w:val="3AFA6B91"/>
    <w:rsid w:val="3B3A1D81"/>
    <w:rsid w:val="3B967ABB"/>
    <w:rsid w:val="3C9B6169"/>
    <w:rsid w:val="41BF1DFC"/>
    <w:rsid w:val="429A40BF"/>
    <w:rsid w:val="49484D29"/>
    <w:rsid w:val="4D7A517D"/>
    <w:rsid w:val="4E7F41F0"/>
    <w:rsid w:val="4EDCBFC9"/>
    <w:rsid w:val="5186065B"/>
    <w:rsid w:val="51C6696B"/>
    <w:rsid w:val="54A20796"/>
    <w:rsid w:val="561925E0"/>
    <w:rsid w:val="587A0701"/>
    <w:rsid w:val="59D8591C"/>
    <w:rsid w:val="5A66296A"/>
    <w:rsid w:val="5B44235D"/>
    <w:rsid w:val="5BEE81CB"/>
    <w:rsid w:val="5C0955A2"/>
    <w:rsid w:val="5C883078"/>
    <w:rsid w:val="5FC679A6"/>
    <w:rsid w:val="5FC80366"/>
    <w:rsid w:val="60531047"/>
    <w:rsid w:val="660F738B"/>
    <w:rsid w:val="6663471E"/>
    <w:rsid w:val="669127EE"/>
    <w:rsid w:val="66B317CA"/>
    <w:rsid w:val="69AC1ED9"/>
    <w:rsid w:val="6C3F6613"/>
    <w:rsid w:val="6EBC3836"/>
    <w:rsid w:val="6FC17259"/>
    <w:rsid w:val="6FDE2B87"/>
    <w:rsid w:val="706C2D29"/>
    <w:rsid w:val="71627C5B"/>
    <w:rsid w:val="73F675E9"/>
    <w:rsid w:val="74141C50"/>
    <w:rsid w:val="755E5220"/>
    <w:rsid w:val="7691208C"/>
    <w:rsid w:val="76B7605B"/>
    <w:rsid w:val="77CF4A59"/>
    <w:rsid w:val="77E6F6EF"/>
    <w:rsid w:val="79F620CB"/>
    <w:rsid w:val="7A7FC97D"/>
    <w:rsid w:val="7DDF4662"/>
    <w:rsid w:val="7DFE1402"/>
    <w:rsid w:val="7F8A30E7"/>
    <w:rsid w:val="7FFFEE49"/>
    <w:rsid w:val="BEED5C29"/>
    <w:rsid w:val="BF7D6696"/>
    <w:rsid w:val="BFFB8AC5"/>
    <w:rsid w:val="D7BB9448"/>
    <w:rsid w:val="E77E1683"/>
    <w:rsid w:val="EFF50721"/>
    <w:rsid w:val="EFFD4E60"/>
    <w:rsid w:val="F68AAAF8"/>
    <w:rsid w:val="F7C9EEDC"/>
    <w:rsid w:val="F94BD330"/>
    <w:rsid w:val="FDF7517A"/>
    <w:rsid w:val="FFFD9B77"/>
    <w:rsid w:val="FFFF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仿宋_GB2312"/>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null3"/>
    <w:qFormat/>
    <w:uiPriority w:val="0"/>
    <w:pPr>
      <w:spacing w:after="160" w:line="278" w:lineRule="auto"/>
    </w:pPr>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2025-08-26T10:00:00Z</dcterms:created>
  <dc:creator>etyfyfgu</dc:creator>
  <cp:lastModifiedBy>etyfyfgu</cp:lastModifiedBy>
  <cp:lastPrinted>2025-10-09T06:45:51Z</cp:lastPrinted>
  <dcterms:modified xsi:type="dcterms:W3CDTF">2025-10-09T06:48:06Z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978E6049DAEFC58EEB32BA682EBEE497</vt:lpwstr>
  </property>
</Properties>
</file>