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193BE">
      <w:pPr>
        <w:rPr>
          <w:rFonts w:hint="eastAsia"/>
          <w:b/>
          <w:bCs/>
          <w:kern w:val="0"/>
          <w:sz w:val="28"/>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BC63A6C">
      <w:pPr>
        <w:ind w:firstLine="880" w:firstLineChars="200"/>
        <w:jc w:val="center"/>
        <w:rPr>
          <w:rFonts w:hint="eastAsia" w:ascii="方正小标宋简体" w:eastAsia="方正小标宋简体" w:cs="Times New Roman"/>
          <w:sz w:val="44"/>
          <w:szCs w:val="44"/>
        </w:rPr>
      </w:pPr>
      <w:r>
        <w:rPr>
          <w:rFonts w:hint="eastAsia" w:ascii="方正小标宋简体" w:eastAsia="方正小标宋简体" w:cs="Times New Roman"/>
          <w:sz w:val="44"/>
          <w:szCs w:val="44"/>
        </w:rPr>
        <w:t>福建省无线电</w:t>
      </w:r>
      <w:r>
        <w:rPr>
          <w:rFonts w:hint="eastAsia" w:ascii="方正小标宋简体" w:eastAsia="方正小标宋简体" w:cs="Times New Roman"/>
          <w:sz w:val="44"/>
          <w:szCs w:val="44"/>
          <w:lang w:eastAsia="zh-CN"/>
        </w:rPr>
        <w:t>管理办公室</w:t>
      </w:r>
      <w:r>
        <w:rPr>
          <w:rFonts w:hint="eastAsia" w:ascii="方正小标宋简体" w:eastAsia="方正小标宋简体" w:cs="Times New Roman"/>
          <w:sz w:val="44"/>
          <w:szCs w:val="44"/>
        </w:rPr>
        <w:t>移动监测</w:t>
      </w:r>
    </w:p>
    <w:p w14:paraId="4F3295FE">
      <w:pPr>
        <w:ind w:firstLine="880" w:firstLineChars="200"/>
        <w:jc w:val="center"/>
        <w:rPr>
          <w:rFonts w:hint="eastAsia"/>
        </w:rPr>
      </w:pPr>
      <w:r>
        <w:rPr>
          <w:rFonts w:hint="eastAsia" w:ascii="方正小标宋简体" w:eastAsia="方正小标宋简体" w:cs="Times New Roman"/>
          <w:sz w:val="44"/>
          <w:szCs w:val="44"/>
        </w:rPr>
        <w:t>平台升级项目技术和服务要求</w:t>
      </w:r>
    </w:p>
    <w:p w14:paraId="515647AE">
      <w:pPr>
        <w:pStyle w:val="5"/>
        <w:widowControl/>
        <w:spacing w:line="435" w:lineRule="atLeast"/>
        <w:rPr>
          <w:rStyle w:val="8"/>
          <w:rFonts w:ascii="宋体" w:cs="宋体"/>
        </w:rPr>
      </w:pPr>
      <w:r>
        <w:rPr>
          <w:rStyle w:val="8"/>
          <w:rFonts w:hint="eastAsia" w:ascii="宋体" w:hAnsi="宋体" w:cs="宋体"/>
        </w:rPr>
        <w:t>一、项目概述</w:t>
      </w:r>
    </w:p>
    <w:p w14:paraId="071A1F1C">
      <w:pPr>
        <w:pStyle w:val="5"/>
        <w:widowControl/>
        <w:spacing w:line="435" w:lineRule="atLeast"/>
        <w:ind w:firstLine="420"/>
        <w:jc w:val="both"/>
        <w:rPr>
          <w:rFonts w:ascii="宋体" w:cs="宋体"/>
        </w:rPr>
      </w:pPr>
      <w:r>
        <w:rPr>
          <w:rFonts w:hint="eastAsia" w:ascii="宋体" w:hAnsi="宋体" w:cs="宋体"/>
        </w:rPr>
        <w:t>本项目是对现有的1辆移动无线电监测站（车辆底盘为</w:t>
      </w:r>
      <w:r>
        <w:rPr>
          <w:rFonts w:hint="eastAsia" w:ascii="宋体" w:hAnsi="宋体" w:cs="宋体"/>
          <w:lang w:eastAsia="zh-CN"/>
        </w:rPr>
        <w:t>丰田霸道</w:t>
      </w:r>
      <w:r>
        <w:rPr>
          <w:rFonts w:hint="eastAsia" w:ascii="宋体" w:hAnsi="宋体" w:cs="宋体"/>
        </w:rPr>
        <w:t>）进行更新，通过新购承载底盘，并基于原有设备重新改装，以满足日常无线电机动监管工作需要。</w:t>
      </w:r>
    </w:p>
    <w:p w14:paraId="1D6E1B6E">
      <w:pPr>
        <w:pStyle w:val="5"/>
        <w:widowControl/>
        <w:spacing w:line="435" w:lineRule="atLeast"/>
        <w:rPr>
          <w:rStyle w:val="8"/>
          <w:rFonts w:hint="eastAsia" w:ascii="宋体" w:hAnsi="宋体" w:cs="宋体"/>
        </w:rPr>
      </w:pPr>
      <w:r>
        <w:rPr>
          <w:rStyle w:val="8"/>
          <w:rFonts w:hint="eastAsia" w:ascii="宋体" w:hAnsi="宋体" w:cs="宋体"/>
        </w:rPr>
        <w:t>二、技术和服务要求</w:t>
      </w:r>
    </w:p>
    <w:p w14:paraId="05A47FA4">
      <w:pPr>
        <w:pStyle w:val="5"/>
        <w:widowControl/>
        <w:spacing w:line="435" w:lineRule="atLeast"/>
        <w:rPr>
          <w:rStyle w:val="8"/>
          <w:rFonts w:ascii="宋体" w:cs="宋体"/>
        </w:rPr>
      </w:pPr>
      <w:r>
        <w:rPr>
          <w:rStyle w:val="8"/>
          <w:rFonts w:hint="eastAsia" w:ascii="宋体" w:hAnsi="宋体" w:cs="宋体"/>
        </w:rPr>
        <w:t>1、总体要求</w:t>
      </w:r>
    </w:p>
    <w:p w14:paraId="2826B5AA">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（1）车辆集成要求</w:t>
      </w:r>
    </w:p>
    <w:p w14:paraId="246D1A99">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1）车载集成总体要求</w:t>
      </w:r>
    </w:p>
    <w:p w14:paraId="20FF8B22">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车辆集成过程应符合国家相关标准和交通管理部门有关要求，应遵循如下文件或标准：QC/T 934-2012《无线电监测车技术条件》、GB 7258-2017《机动车运行安全技术条件》、GA802-2014《机动车类型、术语和定义》、GB1589-2016《汽车、挂车及汽车列车外廓尺寸、轴荷及质量限值》。</w:t>
      </w:r>
    </w:p>
    <w:p w14:paraId="0AB5C41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2）通用要求</w:t>
      </w:r>
    </w:p>
    <w:p w14:paraId="38FA94B4">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一般要求：经集成后的装载平台，使用性能不能降低原车辆/底盘的要求。</w:t>
      </w:r>
    </w:p>
    <w:p w14:paraId="5348D72E">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制动：沿坡度为25°的坡路上下行驶时，应能有效地实施制动。停车制动应能在20°的上坡和下坡的坚实路面上有效地保持。</w:t>
      </w:r>
    </w:p>
    <w:p w14:paraId="1408D668">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侧坡操作：在坡度为10°的侧坡上应能操作和行驶，不出现停车、滑车或翻车等危险。</w:t>
      </w:r>
    </w:p>
    <w:p w14:paraId="7D036BD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涉水：应具有良好的涉水能力，车下部的零部件应密封良好，不致因正常的涉水而灌入水或泥沙，造成损坏或永久性的影响。</w:t>
      </w:r>
    </w:p>
    <w:p w14:paraId="47E096F2">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车厢密封：门、窗关闭的条件下，应能承受与铅垂线成45°降雨量为5mm/min-7mm/min持续时间为1h的淋雨，车内和车壁内部不应该有渗水和漏水，驾驶室、工作室、接口窗及各孔口等处不应有漏水现象。</w:t>
      </w:r>
    </w:p>
    <w:p w14:paraId="6B8BF8C0">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车辆布线：强弱电布线、仪器设备安装便于维护，同时要充分考虑电磁兼容，布线要用线槽方式，保证屏蔽效果和便于检修。</w:t>
      </w:r>
    </w:p>
    <w:p w14:paraId="09BFF1F3">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车辆集成后保证不低于原汽车的各项规定性能指标。</w:t>
      </w:r>
    </w:p>
    <w:p w14:paraId="08E5ACD8">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天线、设备等备件的储纳收藏巧妙合理规范。</w:t>
      </w:r>
    </w:p>
    <w:p w14:paraId="3856505F">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3）安全性</w:t>
      </w:r>
    </w:p>
    <w:p w14:paraId="3BC5F627">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移动监测车应具备安全及保护措施，保证乘员的安全；凡危险部位均应加防护和隔离装置，并有明显的标志；使用环保安全材料，以减少对人体的伤害。</w:t>
      </w:r>
    </w:p>
    <w:p w14:paraId="01FEA1ED">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车辆在停止状态下使用时应具有良好的接地。</w:t>
      </w:r>
    </w:p>
    <w:p w14:paraId="643CB7D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（2）集成性能要求</w:t>
      </w:r>
    </w:p>
    <w:p w14:paraId="3D774C39">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集成须遵循以下原则：</w:t>
      </w:r>
    </w:p>
    <w:p w14:paraId="26D96392">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1）集成部分结构及与车架连接的合理性保持不变。</w:t>
      </w:r>
    </w:p>
    <w:p w14:paraId="3FBE7589">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2）集成后质量分配的合理性、左右承载的均匀性符合底盘轴载要求。</w:t>
      </w:r>
    </w:p>
    <w:p w14:paraId="23CB9CAF">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3）集成后，整车总质量不得超过允许的最大总质量，轴载质量不超过允许的最大轴载质量。</w:t>
      </w:r>
    </w:p>
    <w:p w14:paraId="2887D708">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4）采用合理的配重和减震，集成后的车辆保持原有的动力性和全面的安全舒适性。</w:t>
      </w:r>
    </w:p>
    <w:p w14:paraId="0AA5BD30">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5）重心位置应尽可能低，但必须留有车轮弹跳高度所需的空间。</w:t>
      </w:r>
    </w:p>
    <w:p w14:paraId="4DF84FE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6）集成后车辆外形尺寸不得超过限值，车辆后悬不得超过标准限值。</w:t>
      </w:r>
    </w:p>
    <w:p w14:paraId="41767709">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7）集成后的车辆应保证原底盘的维修、保养方便性。</w:t>
      </w:r>
    </w:p>
    <w:p w14:paraId="5DA832D3">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8）集成后的车辆满足国家现行法规要求。</w:t>
      </w:r>
    </w:p>
    <w:p w14:paraId="2E492F3A">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9）所有操作都应可以在设备或单元面板前面进行。</w:t>
      </w:r>
    </w:p>
    <w:p w14:paraId="1279DA38">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（3）电磁兼容要求</w:t>
      </w:r>
    </w:p>
    <w:p w14:paraId="2D36420A">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辆集成及车内设备布局充分考虑电磁屏蔽。电磁兼容是指设备或系统在其电磁环境中能正常工作且不对该环境中任何事物构成不能承受的电磁骚扰的能力。移动监测车内设备种类繁多，且车内空间狭小，设备布局紧密；各种电源设备、无线设备、网络通信设备集成在狭小的空间内，系统间的电磁干扰和兼容问题就变得尖锐复杂，因此在进行车辆集成时必须做好电磁兼容设计，确保系统工作的正常性和稳定性。它包括电磁干扰和抗电磁干扰两个方面。</w:t>
      </w:r>
    </w:p>
    <w:p w14:paraId="5BF3260C">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1）电磁兼容性设计</w:t>
      </w:r>
    </w:p>
    <w:p w14:paraId="685B6F8D">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车辆电磁兼容性设计参照《军用通信车通用规范》（GJB 2198-2005）有关规定执行。抑制电磁干扰的所有措施不能危及人身、车内设备和汽车底盘的安全，不能影响通信系统的正常功能。</w:t>
      </w:r>
    </w:p>
    <w:p w14:paraId="4B1490AB">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2）布局要求</w:t>
      </w:r>
    </w:p>
    <w:p w14:paraId="2E67C3A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天线之间的隔离度应符合相关设备的要求。车内设备布局应满足以下要求：在保证载荷分布合理的情况下，应将设备之间的相互干扰控制在允许的范围内，强辐射设备与敏感设备应相互远离，敏感设备的安装应避开车厢的门、窗和孔口。</w:t>
      </w:r>
    </w:p>
    <w:p w14:paraId="588331E5">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3）导线、电缆的选用要求</w:t>
      </w:r>
    </w:p>
    <w:p w14:paraId="55B6CE6C">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选用导线、电缆时应根据传输信号的功率电平、频率范围和车内电磁环境等要求来确定；与高频信号或宽带阻抗匹配时，应依据频率高低和功率大小选用相应的同轴电缆；车内有较强辐射源时，传输低频信号的线缆应选用屏蔽双绞线，其纽绞次数不低于23次/m；干扰强的电源线应选用屏蔽电缆；外部电源线线缆需要时应采取必要的屏蔽措施。</w:t>
      </w:r>
    </w:p>
    <w:p w14:paraId="7FCE7C1E">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4）滤波</w:t>
      </w:r>
    </w:p>
    <w:p w14:paraId="66E03490">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电源输入端应有抑制共模干扰和差模干扰的滤波器；当车内电磁环境较复杂时，开关电源分配组各设备的直流供电输出口应有电源滤波器；信号输入输出口应有模拟或数字信号滤波器。</w:t>
      </w:r>
    </w:p>
    <w:p w14:paraId="6D50656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（4）电气布线要求</w:t>
      </w:r>
    </w:p>
    <w:p w14:paraId="418713B3">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1）一般要求</w:t>
      </w:r>
    </w:p>
    <w:p w14:paraId="69ECF1B1">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导线和电缆一般应布设在走线钢带或走线槽内，必要处应加保护措施，避免与粗糙及不规则的表面和金属边角接触。导线和电缆的长度应留有适当的余量，以便操作和维修。布线中并行的导线除有明确规定外不允许绞合。所有机柜在工厂中作好内部连线，内部电缆和连接头种类包括信号、监控、遥控、电源分配等等。若分系统按N+1保护方式配置，但初始不是所有单元都装到架子上，也要配齐所有单元的电缆和连接头。</w:t>
      </w:r>
    </w:p>
    <w:p w14:paraId="6D54D372">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2）电源系统</w:t>
      </w:r>
    </w:p>
    <w:p w14:paraId="31510434">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电源系统的环路电阻应符合相关标准的要求；在温度为15℃～35℃，相对湿度为45%～75%的情况下，电源线之间及电源线对地之间的绝缘电阻应不小于100MΩ。</w:t>
      </w:r>
    </w:p>
    <w:p w14:paraId="16BE2284">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3）信号系统</w:t>
      </w:r>
    </w:p>
    <w:p w14:paraId="2A4BEC63">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信号线的环路电阻应不大于3Ω；在温度为15℃～35℃，相对湿度为45%～75%的情况下，信号线间、车载天线与车皮间的绝缘电阻应不小于100MΩ；信号系统的导线、电缆和接插件应能承受直流电压500V（门限电流1mA)在30秒时间内不击穿；音频信号线之间的串音衰减，在实验频率为800Hz时应不小于78dB；车内各设备接地线与车体应保持良好接触，设备接地端到车体间电阻应不大于0.02Ω。</w:t>
      </w:r>
    </w:p>
    <w:p w14:paraId="5C5F81BB">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4）接口要求</w:t>
      </w:r>
    </w:p>
    <w:p w14:paraId="192959C9">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移动监测车内部设备接口（或光接口）应符合有关标准规定，并满足车内各设备之间互连的接口要求；移动监测车应具有对外互联接口</w:t>
      </w:r>
      <w:bookmarkStart w:id="0" w:name="_GoBack"/>
      <w:bookmarkEnd w:id="0"/>
      <w:r>
        <w:rPr>
          <w:rStyle w:val="8"/>
          <w:rFonts w:hint="eastAsia" w:ascii="宋体" w:hAnsi="宋体" w:cs="宋体"/>
          <w:b w:val="0"/>
          <w:bCs/>
        </w:rPr>
        <w:t>，接口种类根据实际需求可包括视音频接口、有线电话接口、数据接口等。</w:t>
      </w:r>
    </w:p>
    <w:p w14:paraId="235FD1C0">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（5）装车设备要求</w:t>
      </w:r>
    </w:p>
    <w:p w14:paraId="53DF99EC">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设备确认：装车设备必须符合国家法律法规和国家无线电主管部门的有关规定，具有设备承制单位的合格证明。</w:t>
      </w:r>
    </w:p>
    <w:p w14:paraId="259E6F37">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设备安全性：装车设备的安全性要求应符合《无线电管理特种车及装备配置技术要求》的有关规定，保证对人员不造成伤害，对其他设备的正常工作不产生影响。</w:t>
      </w:r>
    </w:p>
    <w:p w14:paraId="76949747">
      <w:pPr>
        <w:pStyle w:val="5"/>
        <w:widowControl/>
        <w:spacing w:before="100" w:after="100" w:line="435" w:lineRule="atLeast"/>
        <w:ind w:firstLine="480" w:firstLineChars="200"/>
        <w:rPr>
          <w:rStyle w:val="8"/>
          <w:rFonts w:hint="eastAsia" w:ascii="宋体" w:hAnsi="宋体" w:cs="宋体"/>
          <w:b w:val="0"/>
          <w:bCs/>
        </w:rPr>
      </w:pPr>
      <w:r>
        <w:rPr>
          <w:rStyle w:val="8"/>
          <w:rFonts w:hint="eastAsia" w:ascii="宋体" w:hAnsi="宋体" w:cs="宋体"/>
          <w:b w:val="0"/>
          <w:bCs/>
        </w:rPr>
        <w:t>设备保障性：装车设备应提供设备使用说明书、技术说明书和维修手册等技术资料；提供必要的备件、附件；需要包装的设备和备件的包装应合理，并能满足规定的运输要求。</w:t>
      </w:r>
    </w:p>
    <w:p w14:paraId="794892C1">
      <w:pPr>
        <w:pStyle w:val="5"/>
        <w:widowControl/>
        <w:spacing w:line="435" w:lineRule="atLeast"/>
        <w:rPr>
          <w:rStyle w:val="8"/>
          <w:rFonts w:ascii="宋体" w:cs="宋体"/>
        </w:rPr>
      </w:pPr>
      <w:r>
        <w:rPr>
          <w:rStyle w:val="8"/>
          <w:rFonts w:hint="eastAsia" w:ascii="宋体" w:hAnsi="宋体" w:cs="宋体"/>
        </w:rPr>
        <w:t>2、系统配置</w:t>
      </w:r>
    </w:p>
    <w:tbl>
      <w:tblPr>
        <w:tblStyle w:val="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3969"/>
        <w:gridCol w:w="851"/>
      </w:tblGrid>
      <w:tr w14:paraId="6682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176ED6D1">
            <w:pPr>
              <w:widowControl/>
              <w:jc w:val="center"/>
              <w:rPr>
                <w:rFonts w:hint="eastAsia" w:ascii="宋体" w:hAnsi="宋体" w:eastAsia="宋体" w:cstheme="minorBidi"/>
                <w:b/>
                <w:kern w:val="0"/>
                <w:szCs w:val="21"/>
              </w:rPr>
            </w:pPr>
            <w:r>
              <w:rPr>
                <w:rFonts w:hint="eastAsia" w:ascii="宋体" w:hAnsi="宋体" w:eastAsia="宋体" w:cstheme="minorBidi"/>
                <w:b/>
                <w:kern w:val="0"/>
                <w:szCs w:val="21"/>
              </w:rPr>
              <w:t>序号</w:t>
            </w:r>
          </w:p>
        </w:tc>
        <w:tc>
          <w:tcPr>
            <w:tcW w:w="2693" w:type="dxa"/>
            <w:vAlign w:val="center"/>
          </w:tcPr>
          <w:p w14:paraId="25013543">
            <w:pPr>
              <w:widowControl/>
              <w:jc w:val="center"/>
              <w:rPr>
                <w:rFonts w:hint="eastAsia" w:ascii="宋体" w:hAnsi="宋体" w:eastAsia="宋体" w:cstheme="minorBidi"/>
                <w:b/>
                <w:kern w:val="0"/>
                <w:szCs w:val="21"/>
              </w:rPr>
            </w:pPr>
            <w:r>
              <w:rPr>
                <w:rFonts w:hint="eastAsia" w:ascii="宋体" w:hAnsi="宋体" w:eastAsia="宋体" w:cstheme="minorBidi"/>
                <w:b/>
                <w:kern w:val="0"/>
                <w:szCs w:val="21"/>
              </w:rPr>
              <w:t>项目及设备</w:t>
            </w:r>
          </w:p>
        </w:tc>
        <w:tc>
          <w:tcPr>
            <w:tcW w:w="3969" w:type="dxa"/>
            <w:vAlign w:val="center"/>
          </w:tcPr>
          <w:p w14:paraId="52CFA003">
            <w:pPr>
              <w:widowControl/>
              <w:jc w:val="center"/>
              <w:rPr>
                <w:rFonts w:hint="eastAsia" w:ascii="宋体" w:hAnsi="宋体" w:eastAsia="宋体" w:cstheme="minorBidi"/>
                <w:b/>
                <w:kern w:val="0"/>
                <w:szCs w:val="21"/>
              </w:rPr>
            </w:pPr>
            <w:r>
              <w:rPr>
                <w:rFonts w:hint="eastAsia" w:ascii="宋体" w:hAnsi="宋体" w:eastAsia="宋体" w:cstheme="minorBidi"/>
                <w:b/>
                <w:kern w:val="0"/>
                <w:szCs w:val="21"/>
              </w:rPr>
              <w:t>主要配置或技术描述</w:t>
            </w:r>
          </w:p>
        </w:tc>
        <w:tc>
          <w:tcPr>
            <w:tcW w:w="851" w:type="dxa"/>
            <w:vAlign w:val="center"/>
          </w:tcPr>
          <w:p w14:paraId="3A3F1178">
            <w:pPr>
              <w:widowControl/>
              <w:jc w:val="center"/>
              <w:rPr>
                <w:rFonts w:hint="eastAsia" w:ascii="宋体" w:hAnsi="宋体" w:eastAsia="宋体" w:cstheme="minorBidi"/>
                <w:b/>
                <w:kern w:val="0"/>
                <w:szCs w:val="21"/>
              </w:rPr>
            </w:pPr>
            <w:r>
              <w:rPr>
                <w:rFonts w:hint="eastAsia" w:ascii="宋体" w:hAnsi="宋体" w:eastAsia="宋体" w:cstheme="minorBidi"/>
                <w:b/>
                <w:kern w:val="0"/>
                <w:szCs w:val="21"/>
              </w:rPr>
              <w:t>数量</w:t>
            </w:r>
          </w:p>
        </w:tc>
      </w:tr>
      <w:tr w14:paraId="103B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1D0FD529">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w:t>
            </w:r>
          </w:p>
        </w:tc>
        <w:tc>
          <w:tcPr>
            <w:tcW w:w="2693" w:type="dxa"/>
            <w:vAlign w:val="center"/>
          </w:tcPr>
          <w:p w14:paraId="2B81A8E7">
            <w:pPr>
              <w:widowControl/>
              <w:jc w:val="center"/>
              <w:rPr>
                <w:rFonts w:hint="eastAsia" w:ascii="宋体" w:hAnsi="宋体" w:eastAsia="宋体" w:cstheme="minorBidi"/>
                <w:kern w:val="0"/>
                <w:szCs w:val="21"/>
              </w:rPr>
            </w:pPr>
            <w:r>
              <w:rPr>
                <w:rFonts w:hint="eastAsia" w:ascii="宋体" w:hAnsi="宋体" w:eastAsia="宋体" w:cstheme="minorBidi"/>
                <w:kern w:val="0"/>
                <w:szCs w:val="21"/>
              </w:rPr>
              <w:t>车载</w:t>
            </w:r>
            <w:r>
              <w:rPr>
                <w:rFonts w:ascii="宋体" w:hAnsi="宋体" w:eastAsia="宋体" w:cstheme="minorBidi"/>
                <w:kern w:val="0"/>
                <w:szCs w:val="21"/>
              </w:rPr>
              <w:t>平台（车辆</w:t>
            </w:r>
            <w:r>
              <w:rPr>
                <w:rFonts w:hint="eastAsia" w:ascii="宋体" w:hAnsi="宋体" w:eastAsia="宋体" w:cstheme="minorBidi"/>
                <w:kern w:val="0"/>
                <w:szCs w:val="21"/>
              </w:rPr>
              <w:t>底盘</w:t>
            </w:r>
            <w:r>
              <w:rPr>
                <w:rFonts w:ascii="宋体" w:hAnsi="宋体" w:eastAsia="宋体" w:cstheme="minorBidi"/>
                <w:kern w:val="0"/>
                <w:szCs w:val="21"/>
              </w:rPr>
              <w:t>）</w:t>
            </w:r>
          </w:p>
        </w:tc>
        <w:tc>
          <w:tcPr>
            <w:tcW w:w="3969" w:type="dxa"/>
            <w:vAlign w:val="center"/>
          </w:tcPr>
          <w:p w14:paraId="6C4239C1">
            <w:pPr>
              <w:widowControl/>
              <w:jc w:val="center"/>
              <w:rPr>
                <w:rFonts w:hint="eastAsia" w:ascii="宋体" w:hAnsi="宋体" w:eastAsia="宋体" w:cstheme="minorBidi"/>
                <w:kern w:val="0"/>
                <w:szCs w:val="21"/>
              </w:rPr>
            </w:pPr>
            <w:r>
              <w:rPr>
                <w:rFonts w:ascii="宋体" w:hAnsi="宋体" w:eastAsia="宋体" w:cstheme="minorBidi"/>
                <w:kern w:val="0"/>
                <w:szCs w:val="21"/>
              </w:rPr>
              <w:t>含整车采购费用和税费等</w:t>
            </w:r>
          </w:p>
        </w:tc>
        <w:tc>
          <w:tcPr>
            <w:tcW w:w="851" w:type="dxa"/>
            <w:vAlign w:val="center"/>
          </w:tcPr>
          <w:p w14:paraId="011F4AE4">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1辆</w:t>
            </w:r>
          </w:p>
        </w:tc>
      </w:tr>
      <w:tr w14:paraId="28D9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30209E63">
            <w:pPr>
              <w:widowControl/>
              <w:jc w:val="center"/>
              <w:rPr>
                <w:rFonts w:hint="eastAsia" w:ascii="宋体" w:hAnsi="宋体" w:eastAsia="宋体" w:cstheme="minorBidi"/>
                <w:kern w:val="0"/>
                <w:szCs w:val="21"/>
              </w:rPr>
            </w:pPr>
            <w:r>
              <w:rPr>
                <w:rFonts w:hint="eastAsia" w:ascii="宋体" w:hAnsi="宋体" w:eastAsia="宋体" w:cstheme="minorBidi"/>
                <w:kern w:val="0"/>
                <w:szCs w:val="21"/>
              </w:rPr>
              <w:t>2</w:t>
            </w:r>
          </w:p>
        </w:tc>
        <w:tc>
          <w:tcPr>
            <w:tcW w:w="2693" w:type="dxa"/>
            <w:vAlign w:val="center"/>
          </w:tcPr>
          <w:p w14:paraId="1A949F4D">
            <w:pPr>
              <w:widowControl/>
              <w:jc w:val="center"/>
              <w:rPr>
                <w:rFonts w:hint="eastAsia" w:ascii="宋体" w:hAnsi="宋体" w:eastAsia="宋体" w:cstheme="minorBidi"/>
                <w:kern w:val="0"/>
                <w:szCs w:val="21"/>
              </w:rPr>
            </w:pPr>
            <w:r>
              <w:rPr>
                <w:rFonts w:ascii="宋体" w:hAnsi="宋体" w:eastAsia="宋体" w:cstheme="minorBidi"/>
                <w:kern w:val="0"/>
                <w:szCs w:val="21"/>
              </w:rPr>
              <w:t>车辆上户费用</w:t>
            </w:r>
          </w:p>
        </w:tc>
        <w:tc>
          <w:tcPr>
            <w:tcW w:w="3969" w:type="dxa"/>
            <w:vAlign w:val="center"/>
          </w:tcPr>
          <w:p w14:paraId="59D098F2">
            <w:pPr>
              <w:widowControl/>
              <w:jc w:val="center"/>
              <w:rPr>
                <w:rFonts w:hint="eastAsia" w:ascii="宋体" w:hAnsi="宋体" w:eastAsia="宋体" w:cstheme="minorBidi"/>
                <w:kern w:val="0"/>
                <w:szCs w:val="21"/>
              </w:rPr>
            </w:pPr>
            <w:r>
              <w:rPr>
                <w:rFonts w:ascii="宋体" w:hAnsi="宋体" w:eastAsia="宋体" w:cstheme="minorBidi"/>
                <w:kern w:val="0"/>
                <w:szCs w:val="21"/>
              </w:rPr>
              <w:t>包括</w:t>
            </w:r>
            <w:r>
              <w:rPr>
                <w:rFonts w:hint="eastAsia" w:ascii="宋体" w:hAnsi="宋体" w:eastAsia="宋体" w:cstheme="minorBidi"/>
                <w:kern w:val="0"/>
                <w:szCs w:val="21"/>
              </w:rPr>
              <w:t>车辆购置税、牌照费、商业保险费</w:t>
            </w:r>
            <w:r>
              <w:rPr>
                <w:rFonts w:ascii="宋体" w:hAnsi="宋体" w:eastAsia="宋体" w:cstheme="minorBidi"/>
                <w:kern w:val="0"/>
                <w:szCs w:val="21"/>
              </w:rPr>
              <w:t>等</w:t>
            </w:r>
          </w:p>
        </w:tc>
        <w:tc>
          <w:tcPr>
            <w:tcW w:w="851" w:type="dxa"/>
            <w:vAlign w:val="center"/>
          </w:tcPr>
          <w:p w14:paraId="22633B79">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1项</w:t>
            </w:r>
          </w:p>
        </w:tc>
      </w:tr>
      <w:tr w14:paraId="3BA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648377C3">
            <w:pPr>
              <w:widowControl/>
              <w:jc w:val="center"/>
              <w:rPr>
                <w:rFonts w:hint="eastAsia" w:ascii="宋体" w:hAnsi="宋体" w:eastAsia="宋体" w:cstheme="minorBidi"/>
                <w:kern w:val="0"/>
                <w:szCs w:val="21"/>
              </w:rPr>
            </w:pPr>
            <w:r>
              <w:rPr>
                <w:rFonts w:hint="eastAsia" w:ascii="宋体" w:hAnsi="宋体" w:eastAsia="宋体" w:cstheme="minorBidi"/>
                <w:kern w:val="0"/>
                <w:szCs w:val="21"/>
              </w:rPr>
              <w:t>3</w:t>
            </w:r>
          </w:p>
        </w:tc>
        <w:tc>
          <w:tcPr>
            <w:tcW w:w="2693" w:type="dxa"/>
            <w:vAlign w:val="center"/>
          </w:tcPr>
          <w:p w14:paraId="22B61D2B">
            <w:pPr>
              <w:widowControl/>
              <w:jc w:val="center"/>
              <w:rPr>
                <w:rFonts w:hint="eastAsia" w:ascii="宋体" w:hAnsi="宋体" w:eastAsia="宋体" w:cstheme="minorBidi"/>
                <w:kern w:val="0"/>
                <w:szCs w:val="21"/>
              </w:rPr>
            </w:pPr>
            <w:r>
              <w:rPr>
                <w:rFonts w:ascii="宋体" w:hAnsi="宋体" w:eastAsia="宋体" w:cstheme="minorBidi"/>
                <w:kern w:val="0"/>
                <w:szCs w:val="21"/>
              </w:rPr>
              <w:t>特种车辆公告</w:t>
            </w:r>
          </w:p>
        </w:tc>
        <w:tc>
          <w:tcPr>
            <w:tcW w:w="3969" w:type="dxa"/>
            <w:vAlign w:val="center"/>
          </w:tcPr>
          <w:p w14:paraId="5574360B">
            <w:pPr>
              <w:widowControl/>
              <w:jc w:val="center"/>
              <w:rPr>
                <w:rFonts w:hint="eastAsia" w:ascii="宋体" w:hAnsi="宋体" w:eastAsia="宋体" w:cstheme="minorBidi"/>
                <w:kern w:val="0"/>
                <w:szCs w:val="21"/>
              </w:rPr>
            </w:pPr>
            <w:r>
              <w:rPr>
                <w:rFonts w:ascii="宋体" w:hAnsi="宋体" w:eastAsia="宋体" w:cstheme="minorBidi"/>
                <w:kern w:val="0"/>
                <w:szCs w:val="21"/>
              </w:rPr>
              <w:t>监测车公告申报费用</w:t>
            </w:r>
          </w:p>
        </w:tc>
        <w:tc>
          <w:tcPr>
            <w:tcW w:w="851" w:type="dxa"/>
            <w:vAlign w:val="center"/>
          </w:tcPr>
          <w:p w14:paraId="0076C6FA">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1项</w:t>
            </w:r>
          </w:p>
        </w:tc>
      </w:tr>
      <w:tr w14:paraId="04C0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3F5D090E">
            <w:pPr>
              <w:widowControl/>
              <w:jc w:val="center"/>
              <w:rPr>
                <w:rFonts w:hint="eastAsia" w:ascii="宋体" w:hAnsi="宋体" w:eastAsia="宋体" w:cstheme="minorBidi"/>
                <w:kern w:val="0"/>
                <w:szCs w:val="21"/>
              </w:rPr>
            </w:pPr>
            <w:r>
              <w:rPr>
                <w:rFonts w:hint="eastAsia" w:ascii="宋体" w:hAnsi="宋体" w:eastAsia="宋体" w:cstheme="minorBidi"/>
                <w:kern w:val="0"/>
                <w:szCs w:val="21"/>
              </w:rPr>
              <w:t>4</w:t>
            </w:r>
          </w:p>
        </w:tc>
        <w:tc>
          <w:tcPr>
            <w:tcW w:w="2693" w:type="dxa"/>
            <w:vAlign w:val="center"/>
          </w:tcPr>
          <w:p w14:paraId="2C72C1D4">
            <w:pPr>
              <w:widowControl/>
              <w:jc w:val="center"/>
              <w:rPr>
                <w:rFonts w:hint="eastAsia" w:ascii="宋体" w:hAnsi="宋体" w:eastAsia="宋体" w:cstheme="minorBidi"/>
                <w:kern w:val="0"/>
                <w:szCs w:val="21"/>
              </w:rPr>
            </w:pPr>
            <w:r>
              <w:rPr>
                <w:rFonts w:hint="eastAsia" w:ascii="宋体" w:hAnsi="宋体" w:eastAsia="宋体" w:cstheme="minorBidi"/>
                <w:kern w:val="0"/>
                <w:szCs w:val="21"/>
              </w:rPr>
              <w:t>车辆改装</w:t>
            </w:r>
          </w:p>
        </w:tc>
        <w:tc>
          <w:tcPr>
            <w:tcW w:w="3969" w:type="dxa"/>
            <w:vAlign w:val="center"/>
          </w:tcPr>
          <w:p w14:paraId="0DACC510">
            <w:pPr>
              <w:widowControl/>
              <w:jc w:val="center"/>
              <w:rPr>
                <w:rFonts w:hint="eastAsia" w:ascii="宋体" w:hAnsi="宋体" w:eastAsia="宋体" w:cstheme="minorBidi"/>
                <w:kern w:val="0"/>
                <w:szCs w:val="21"/>
              </w:rPr>
            </w:pPr>
            <w:r>
              <w:rPr>
                <w:rFonts w:hint="eastAsia" w:ascii="宋体" w:hAnsi="宋体" w:eastAsia="宋体" w:cstheme="minorBidi"/>
                <w:kern w:val="0"/>
                <w:szCs w:val="21"/>
              </w:rPr>
              <w:t>车辆改装、车辆管理费等</w:t>
            </w:r>
          </w:p>
        </w:tc>
        <w:tc>
          <w:tcPr>
            <w:tcW w:w="851" w:type="dxa"/>
            <w:vAlign w:val="center"/>
          </w:tcPr>
          <w:p w14:paraId="5282C9E3">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1项</w:t>
            </w:r>
          </w:p>
        </w:tc>
      </w:tr>
      <w:tr w14:paraId="14B2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134A44DF">
            <w:pPr>
              <w:widowControl/>
              <w:jc w:val="center"/>
              <w:rPr>
                <w:rFonts w:hint="eastAsia" w:ascii="宋体" w:hAnsi="宋体" w:eastAsia="宋体" w:cstheme="minorBidi"/>
                <w:kern w:val="0"/>
                <w:szCs w:val="21"/>
              </w:rPr>
            </w:pPr>
            <w:r>
              <w:rPr>
                <w:rFonts w:hint="eastAsia" w:ascii="宋体" w:hAnsi="宋体" w:eastAsia="宋体" w:cstheme="minorBidi"/>
                <w:kern w:val="0"/>
                <w:szCs w:val="21"/>
              </w:rPr>
              <w:t>5</w:t>
            </w:r>
          </w:p>
        </w:tc>
        <w:tc>
          <w:tcPr>
            <w:tcW w:w="2693" w:type="dxa"/>
            <w:vAlign w:val="center"/>
          </w:tcPr>
          <w:p w14:paraId="73292ABE">
            <w:pPr>
              <w:widowControl/>
              <w:jc w:val="center"/>
              <w:rPr>
                <w:rFonts w:hint="eastAsia" w:ascii="宋体" w:hAnsi="宋体" w:eastAsia="宋体" w:cstheme="minorBidi"/>
                <w:kern w:val="0"/>
                <w:szCs w:val="21"/>
              </w:rPr>
            </w:pPr>
            <w:r>
              <w:rPr>
                <w:rFonts w:ascii="宋体" w:hAnsi="宋体" w:eastAsia="宋体" w:cstheme="minorBidi"/>
                <w:kern w:val="0"/>
                <w:szCs w:val="21"/>
              </w:rPr>
              <w:t>天线罩</w:t>
            </w:r>
          </w:p>
        </w:tc>
        <w:tc>
          <w:tcPr>
            <w:tcW w:w="3969" w:type="dxa"/>
            <w:vAlign w:val="center"/>
          </w:tcPr>
          <w:p w14:paraId="03194B8D">
            <w:pPr>
              <w:widowControl/>
              <w:jc w:val="center"/>
              <w:rPr>
                <w:rFonts w:hint="eastAsia" w:ascii="宋体" w:hAnsi="宋体" w:eastAsia="宋体" w:cstheme="minorBidi"/>
                <w:kern w:val="0"/>
                <w:szCs w:val="21"/>
              </w:rPr>
            </w:pPr>
            <w:r>
              <w:rPr>
                <w:rFonts w:ascii="宋体" w:hAnsi="宋体" w:eastAsia="宋体" w:cstheme="minorBidi"/>
                <w:kern w:val="0"/>
                <w:szCs w:val="21"/>
              </w:rPr>
              <w:t>含安装结构件</w:t>
            </w:r>
          </w:p>
        </w:tc>
        <w:tc>
          <w:tcPr>
            <w:tcW w:w="851" w:type="dxa"/>
            <w:vAlign w:val="center"/>
          </w:tcPr>
          <w:p w14:paraId="08D1B01A">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1套</w:t>
            </w:r>
          </w:p>
        </w:tc>
      </w:tr>
      <w:tr w14:paraId="40B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7" w:type="dxa"/>
            <w:vAlign w:val="center"/>
          </w:tcPr>
          <w:p w14:paraId="26026A43">
            <w:pPr>
              <w:widowControl/>
              <w:jc w:val="center"/>
              <w:rPr>
                <w:rFonts w:hint="eastAsia" w:ascii="宋体" w:hAnsi="宋体" w:eastAsia="宋体" w:cstheme="minorBidi"/>
                <w:kern w:val="0"/>
                <w:szCs w:val="21"/>
              </w:rPr>
            </w:pPr>
            <w:r>
              <w:rPr>
                <w:rFonts w:hint="eastAsia" w:ascii="宋体" w:hAnsi="宋体" w:eastAsia="宋体" w:cstheme="minorBidi"/>
                <w:kern w:val="0"/>
                <w:szCs w:val="21"/>
              </w:rPr>
              <w:t>6</w:t>
            </w:r>
          </w:p>
        </w:tc>
        <w:tc>
          <w:tcPr>
            <w:tcW w:w="2693" w:type="dxa"/>
            <w:vAlign w:val="center"/>
          </w:tcPr>
          <w:p w14:paraId="470A947C">
            <w:pPr>
              <w:widowControl/>
              <w:jc w:val="center"/>
              <w:rPr>
                <w:rFonts w:hint="eastAsia" w:ascii="宋体" w:hAnsi="宋体" w:eastAsia="宋体" w:cstheme="minorBidi"/>
                <w:kern w:val="0"/>
                <w:szCs w:val="21"/>
              </w:rPr>
            </w:pPr>
            <w:r>
              <w:rPr>
                <w:rFonts w:ascii="宋体" w:hAnsi="宋体" w:eastAsia="宋体" w:cstheme="minorBidi"/>
                <w:kern w:val="0"/>
                <w:szCs w:val="21"/>
              </w:rPr>
              <w:t>设备机柜</w:t>
            </w:r>
          </w:p>
        </w:tc>
        <w:tc>
          <w:tcPr>
            <w:tcW w:w="3969" w:type="dxa"/>
            <w:vAlign w:val="center"/>
          </w:tcPr>
          <w:p w14:paraId="23335C3B">
            <w:pPr>
              <w:widowControl/>
              <w:jc w:val="center"/>
              <w:rPr>
                <w:rFonts w:hint="eastAsia" w:ascii="宋体" w:hAnsi="宋体" w:eastAsia="宋体" w:cstheme="minorBidi"/>
                <w:kern w:val="0"/>
                <w:szCs w:val="21"/>
              </w:rPr>
            </w:pPr>
            <w:r>
              <w:rPr>
                <w:rFonts w:ascii="宋体" w:hAnsi="宋体" w:eastAsia="宋体" w:cstheme="minorBidi"/>
                <w:kern w:val="0"/>
                <w:szCs w:val="21"/>
              </w:rPr>
              <w:t>含安装结构件及机柜面板</w:t>
            </w:r>
          </w:p>
        </w:tc>
        <w:tc>
          <w:tcPr>
            <w:tcW w:w="851" w:type="dxa"/>
            <w:vAlign w:val="center"/>
          </w:tcPr>
          <w:p w14:paraId="17EE08FD">
            <w:pPr>
              <w:widowControl/>
              <w:jc w:val="center"/>
              <w:rPr>
                <w:rFonts w:hint="eastAsia" w:ascii="宋体" w:hAnsi="宋体" w:eastAsia="宋体" w:cstheme="minorBidi"/>
                <w:kern w:val="0"/>
                <w:szCs w:val="21"/>
              </w:rPr>
            </w:pPr>
            <w:r>
              <w:rPr>
                <w:rFonts w:hint="eastAsia" w:ascii="宋体" w:hAnsi="宋体" w:eastAsia="宋体" w:cstheme="minorBidi"/>
                <w:kern w:val="0"/>
                <w:szCs w:val="21"/>
              </w:rPr>
              <w:t>1套</w:t>
            </w:r>
          </w:p>
        </w:tc>
      </w:tr>
    </w:tbl>
    <w:p w14:paraId="15A7E87D">
      <w:pPr>
        <w:pStyle w:val="5"/>
        <w:widowControl/>
        <w:spacing w:line="435" w:lineRule="atLeast"/>
        <w:rPr>
          <w:rStyle w:val="8"/>
          <w:rFonts w:hint="eastAsia" w:ascii="宋体" w:hAnsi="宋体" w:cs="宋体"/>
        </w:rPr>
      </w:pPr>
      <w:r>
        <w:rPr>
          <w:rStyle w:val="8"/>
          <w:rFonts w:hint="eastAsia" w:ascii="宋体" w:hAnsi="宋体" w:cs="宋体"/>
        </w:rPr>
        <w:t>3、改装要求</w:t>
      </w:r>
    </w:p>
    <w:p w14:paraId="23745C17">
      <w:pPr>
        <w:widowControl/>
        <w:spacing w:after="160" w:line="360" w:lineRule="auto"/>
        <w:ind w:firstLine="480" w:firstLineChars="200"/>
        <w:rPr>
          <w:rFonts w:hint="eastAsia" w:ascii="宋体" w:hAnsi="宋体" w:eastAsia="宋体" w:cstheme="minorBidi"/>
          <w:kern w:val="0"/>
          <w:sz w:val="24"/>
        </w:rPr>
      </w:pPr>
      <w:r>
        <w:rPr>
          <w:rFonts w:ascii="宋体" w:hAnsi="宋体" w:eastAsia="宋体" w:cstheme="minorBidi"/>
          <w:kern w:val="0"/>
          <w:sz w:val="24"/>
        </w:rPr>
        <w:t>车顶改装：在车顶平台上部加装</w:t>
      </w:r>
      <w:r>
        <w:rPr>
          <w:rFonts w:hint="eastAsia" w:ascii="宋体" w:hAnsi="宋体" w:eastAsia="宋体" w:cstheme="minorBidi"/>
          <w:kern w:val="0"/>
          <w:sz w:val="24"/>
        </w:rPr>
        <w:t>低风阻蜂巢玻璃钢天线罩</w:t>
      </w:r>
      <w:r>
        <w:rPr>
          <w:rFonts w:ascii="宋体" w:hAnsi="宋体" w:eastAsia="宋体" w:cstheme="minorBidi"/>
          <w:kern w:val="0"/>
          <w:sz w:val="24"/>
        </w:rPr>
        <w:t>，对车顶开孔处和天线罩底部进行有效防水处理。天线罩直径≤1100mm，高度≤580mm（含安装底座）。</w:t>
      </w:r>
    </w:p>
    <w:p w14:paraId="678D0BA0">
      <w:pPr>
        <w:widowControl/>
        <w:spacing w:after="160" w:line="360" w:lineRule="auto"/>
        <w:ind w:firstLine="480" w:firstLineChars="200"/>
        <w:rPr>
          <w:rFonts w:ascii="宋体" w:hAnsi="宋体" w:eastAsia="宋体" w:cstheme="minorBidi"/>
          <w:kern w:val="0"/>
          <w:sz w:val="24"/>
        </w:rPr>
      </w:pPr>
      <w:r>
        <w:rPr>
          <w:rFonts w:ascii="宋体" w:hAnsi="宋体" w:eastAsia="宋体" w:cstheme="minorBidi"/>
          <w:kern w:val="0"/>
          <w:sz w:val="24"/>
        </w:rPr>
        <w:t>车内改装：保留原车座椅，根据车型结构安装19英寸左右设备机柜，并预留一定空间用于放置其它附属设备，如线缆盘、不锈钢灭火器等。机柜要求结构稳定可靠、安装方便、可维修性好，贯彻标准化、系列化、模块化设计；在满足设备安装的情况下，尽可能做到体积小、重量轻、造型美观大方。机柜尺寸应符合GB/T 3047.1-1995《高度进制为20mm的面板、架和柜的基本尺寸系列》要求；机柜底部安装孔周围结构牢固、可靠。机柜的结构设计中留有合理的线缆走线位置。机柜设置可拆式后板。根据机柜自身重量以及机柜内设备的重量，使用无谐振减震器组（含底部及顶部），对机柜实行有效减震。</w:t>
      </w:r>
    </w:p>
    <w:p w14:paraId="541263BC">
      <w:pPr>
        <w:widowControl/>
        <w:spacing w:after="160" w:line="360" w:lineRule="auto"/>
        <w:ind w:firstLine="480" w:firstLineChars="200"/>
        <w:rPr>
          <w:rFonts w:hint="eastAsia" w:ascii="宋体" w:hAnsi="宋体" w:eastAsia="宋体" w:cstheme="minorBidi"/>
          <w:kern w:val="0"/>
          <w:sz w:val="24"/>
        </w:rPr>
      </w:pPr>
      <w:r>
        <w:rPr>
          <w:rFonts w:ascii="宋体" w:hAnsi="宋体" w:eastAsia="宋体" w:cstheme="minorBidi"/>
          <w:kern w:val="0"/>
          <w:sz w:val="24"/>
        </w:rPr>
        <w:t>车辆改装后，车辆的性能、外观与重量、车厢密封性、安全性、可靠性等应符合《无线电管理特种车及装备配置技术要求》。车辆改装完成后向国家相关部门办理相应手续，申请并取得国家相关部门特种车辆公告号及机动车目录。车辆在交付使用时完整提供按照国家关于车辆方面相关规定的手续（包括但不限于：车辆型号铭牌、车辆发票、车辆合格证），保证可以在当地公安车辆管理部门办理车辆牌照及其他相关手续。</w:t>
      </w:r>
    </w:p>
    <w:p w14:paraId="38E52C11">
      <w:pPr>
        <w:pStyle w:val="5"/>
        <w:widowControl/>
        <w:spacing w:line="435" w:lineRule="atLeast"/>
        <w:rPr>
          <w:rStyle w:val="8"/>
          <w:rFonts w:hint="eastAsia" w:ascii="宋体" w:hAnsi="宋体" w:cs="宋体"/>
        </w:rPr>
      </w:pPr>
      <w:r>
        <w:rPr>
          <w:rStyle w:val="8"/>
          <w:rFonts w:hint="eastAsia" w:ascii="宋体" w:hAnsi="宋体" w:cs="宋体"/>
        </w:rPr>
        <w:t>4、性能指标要求</w:t>
      </w:r>
    </w:p>
    <w:p w14:paraId="785E0188">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（1）</w:t>
      </w:r>
      <w:r>
        <w:rPr>
          <w:rFonts w:ascii="宋体" w:hAnsi="宋体" w:eastAsia="宋体" w:cstheme="minorBidi"/>
          <w:kern w:val="0"/>
          <w:sz w:val="24"/>
          <w:szCs w:val="24"/>
        </w:rPr>
        <w:t>承载车辆采用5门</w:t>
      </w:r>
      <w:r>
        <w:rPr>
          <w:rFonts w:hint="eastAsia" w:ascii="宋体" w:hAnsi="宋体" w:eastAsia="宋体" w:cstheme="minorBidi"/>
          <w:kern w:val="0"/>
          <w:sz w:val="24"/>
          <w:szCs w:val="24"/>
        </w:rPr>
        <w:t>7</w:t>
      </w:r>
      <w:r>
        <w:rPr>
          <w:rFonts w:ascii="宋体" w:hAnsi="宋体" w:eastAsia="宋体" w:cstheme="minorBidi"/>
          <w:kern w:val="0"/>
          <w:sz w:val="24"/>
          <w:szCs w:val="24"/>
        </w:rPr>
        <w:t>座</w:t>
      </w:r>
      <w:r>
        <w:rPr>
          <w:rFonts w:hint="eastAsia" w:ascii="宋体" w:hAnsi="宋体" w:eastAsia="宋体" w:cstheme="minorBidi"/>
          <w:kern w:val="0"/>
          <w:sz w:val="24"/>
          <w:szCs w:val="24"/>
        </w:rPr>
        <w:t>MPV</w:t>
      </w:r>
      <w:r>
        <w:rPr>
          <w:rFonts w:ascii="宋体" w:hAnsi="宋体" w:eastAsia="宋体" w:cstheme="minorBidi"/>
          <w:kern w:val="0"/>
          <w:sz w:val="24"/>
          <w:szCs w:val="24"/>
        </w:rPr>
        <w:t>车型；</w:t>
      </w:r>
    </w:p>
    <w:p w14:paraId="5EA35B5F">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（2）</w:t>
      </w:r>
      <w:r>
        <w:rPr>
          <w:rFonts w:ascii="宋体" w:hAnsi="宋体" w:eastAsia="宋体" w:cstheme="minorBidi"/>
          <w:kern w:val="0"/>
          <w:sz w:val="24"/>
          <w:szCs w:val="24"/>
        </w:rPr>
        <w:t>车辆外观</w:t>
      </w:r>
      <w:r>
        <w:rPr>
          <w:rFonts w:hint="eastAsia" w:ascii="宋体" w:hAnsi="宋体" w:eastAsia="宋体" w:cstheme="minorBidi"/>
          <w:kern w:val="0"/>
          <w:sz w:val="24"/>
          <w:szCs w:val="24"/>
        </w:rPr>
        <w:t>、</w:t>
      </w:r>
      <w:r>
        <w:rPr>
          <w:rFonts w:ascii="宋体" w:hAnsi="宋体" w:eastAsia="宋体" w:cstheme="minorBidi"/>
          <w:kern w:val="0"/>
          <w:sz w:val="24"/>
          <w:szCs w:val="24"/>
        </w:rPr>
        <w:t>内饰颜色在车辆采购前由采购人确认；</w:t>
      </w:r>
    </w:p>
    <w:p w14:paraId="5B0A1922">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（3）</w:t>
      </w:r>
      <w:r>
        <w:rPr>
          <w:rFonts w:ascii="宋体" w:hAnsi="宋体" w:eastAsia="宋体" w:cstheme="minorBidi"/>
          <w:kern w:val="0"/>
          <w:sz w:val="24"/>
          <w:szCs w:val="24"/>
        </w:rPr>
        <w:t>能源类型及环保标准：</w:t>
      </w:r>
      <w:r>
        <w:rPr>
          <w:rFonts w:hint="eastAsia" w:ascii="宋体" w:hAnsi="宋体" w:eastAsia="宋体" w:cstheme="minorBidi"/>
          <w:kern w:val="0"/>
          <w:sz w:val="24"/>
          <w:szCs w:val="24"/>
        </w:rPr>
        <w:t>48V轻混系统，</w:t>
      </w:r>
      <w:r>
        <w:rPr>
          <w:rFonts w:ascii="宋体" w:hAnsi="宋体" w:eastAsia="宋体" w:cstheme="minorBidi"/>
          <w:kern w:val="0"/>
          <w:sz w:val="24"/>
          <w:szCs w:val="24"/>
        </w:rPr>
        <w:t>国VI B；</w:t>
      </w:r>
    </w:p>
    <w:p w14:paraId="4D755E58">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（4）</w:t>
      </w:r>
      <w:r>
        <w:rPr>
          <w:rFonts w:ascii="宋体" w:hAnsi="宋体" w:eastAsia="宋体" w:cstheme="minorBidi"/>
          <w:kern w:val="0"/>
          <w:sz w:val="24"/>
          <w:szCs w:val="24"/>
        </w:rPr>
        <w:t>长(mm)*宽(mm)*高(mm)：≥5</w:t>
      </w:r>
      <w:r>
        <w:rPr>
          <w:rFonts w:hint="eastAsia" w:ascii="宋体" w:hAnsi="宋体" w:eastAsia="宋体" w:cstheme="minorBidi"/>
          <w:kern w:val="0"/>
          <w:sz w:val="24"/>
          <w:szCs w:val="24"/>
        </w:rPr>
        <w:t>20</w:t>
      </w:r>
      <w:r>
        <w:rPr>
          <w:rFonts w:ascii="宋体" w:hAnsi="宋体" w:eastAsia="宋体" w:cstheme="minorBidi"/>
          <w:kern w:val="0"/>
          <w:sz w:val="24"/>
          <w:szCs w:val="24"/>
        </w:rPr>
        <w:t>0*≥1</w:t>
      </w:r>
      <w:r>
        <w:rPr>
          <w:rFonts w:hint="eastAsia" w:ascii="宋体" w:hAnsi="宋体" w:eastAsia="宋体" w:cstheme="minorBidi"/>
          <w:kern w:val="0"/>
          <w:sz w:val="24"/>
          <w:szCs w:val="24"/>
        </w:rPr>
        <w:t>870</w:t>
      </w:r>
      <w:r>
        <w:rPr>
          <w:rFonts w:ascii="宋体" w:hAnsi="宋体" w:eastAsia="宋体" w:cstheme="minorBidi"/>
          <w:kern w:val="0"/>
          <w:sz w:val="24"/>
          <w:szCs w:val="24"/>
        </w:rPr>
        <w:t>*≥1</w:t>
      </w:r>
      <w:r>
        <w:rPr>
          <w:rFonts w:hint="eastAsia" w:ascii="宋体" w:hAnsi="宋体" w:eastAsia="宋体" w:cstheme="minorBidi"/>
          <w:kern w:val="0"/>
          <w:sz w:val="24"/>
          <w:szCs w:val="24"/>
        </w:rPr>
        <w:t>8</w:t>
      </w:r>
      <w:r>
        <w:rPr>
          <w:rFonts w:ascii="宋体" w:hAnsi="宋体" w:eastAsia="宋体" w:cstheme="minorBidi"/>
          <w:kern w:val="0"/>
          <w:sz w:val="24"/>
          <w:szCs w:val="24"/>
        </w:rPr>
        <w:t>00；</w:t>
      </w:r>
      <w:r>
        <w:rPr>
          <w:rFonts w:hint="eastAsia" w:ascii="宋体" w:hAnsi="宋体" w:eastAsia="宋体" w:cstheme="minorBidi"/>
          <w:kern w:val="0"/>
          <w:sz w:val="24"/>
          <w:szCs w:val="24"/>
        </w:rPr>
        <w:t>轴距(mm)：≥3080；</w:t>
      </w:r>
    </w:p>
    <w:p w14:paraId="67DA09FE">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（5）</w:t>
      </w:r>
      <w:r>
        <w:rPr>
          <w:rFonts w:ascii="宋体" w:hAnsi="宋体" w:eastAsia="宋体" w:cstheme="minorBidi"/>
          <w:kern w:val="0"/>
          <w:sz w:val="24"/>
          <w:szCs w:val="24"/>
        </w:rPr>
        <w:t>发动机排量(L)≥</w:t>
      </w:r>
      <w:r>
        <w:rPr>
          <w:rFonts w:hint="eastAsia" w:ascii="宋体" w:hAnsi="宋体" w:eastAsia="宋体" w:cstheme="minorBidi"/>
          <w:kern w:val="0"/>
          <w:sz w:val="24"/>
          <w:szCs w:val="24"/>
        </w:rPr>
        <w:t>2</w:t>
      </w:r>
      <w:r>
        <w:rPr>
          <w:rFonts w:ascii="宋体" w:hAnsi="宋体" w:eastAsia="宋体" w:cstheme="minorBidi"/>
          <w:kern w:val="0"/>
          <w:sz w:val="24"/>
          <w:szCs w:val="24"/>
        </w:rPr>
        <w:t>.0T可变缸涡轮增压发动机，9速智能变速箱；</w:t>
      </w:r>
    </w:p>
    <w:p w14:paraId="3751FA4A">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（6）</w:t>
      </w:r>
      <w:r>
        <w:rPr>
          <w:rFonts w:ascii="宋体" w:hAnsi="宋体" w:eastAsia="宋体" w:cstheme="minorBidi"/>
          <w:kern w:val="0"/>
          <w:sz w:val="24"/>
          <w:szCs w:val="24"/>
        </w:rPr>
        <w:t>发动机最大功率不低于</w:t>
      </w:r>
      <w:r>
        <w:rPr>
          <w:rFonts w:hint="eastAsia" w:ascii="宋体" w:hAnsi="宋体" w:eastAsia="宋体" w:cstheme="minorBidi"/>
          <w:kern w:val="0"/>
          <w:sz w:val="24"/>
          <w:szCs w:val="24"/>
        </w:rPr>
        <w:t>17</w:t>
      </w:r>
      <w:r>
        <w:rPr>
          <w:rFonts w:ascii="宋体" w:hAnsi="宋体" w:eastAsia="宋体" w:cstheme="minorBidi"/>
          <w:kern w:val="0"/>
          <w:sz w:val="24"/>
          <w:szCs w:val="24"/>
        </w:rPr>
        <w:t>0kW/rpm、最大扭矩不低于</w:t>
      </w:r>
      <w:r>
        <w:rPr>
          <w:rFonts w:hint="eastAsia" w:ascii="宋体" w:hAnsi="宋体" w:eastAsia="宋体" w:cstheme="minorBidi"/>
          <w:kern w:val="0"/>
          <w:sz w:val="24"/>
          <w:szCs w:val="24"/>
        </w:rPr>
        <w:t>35</w:t>
      </w:r>
      <w:r>
        <w:rPr>
          <w:rFonts w:ascii="宋体" w:hAnsi="宋体" w:eastAsia="宋体" w:cstheme="minorBidi"/>
          <w:kern w:val="0"/>
          <w:sz w:val="24"/>
          <w:szCs w:val="24"/>
        </w:rPr>
        <w:t>0N.m/rpm；</w:t>
      </w:r>
    </w:p>
    <w:p w14:paraId="26627A6E">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（7）</w:t>
      </w:r>
      <w:r>
        <w:rPr>
          <w:rFonts w:ascii="宋体" w:hAnsi="宋体" w:eastAsia="宋体" w:cstheme="minorBidi"/>
          <w:kern w:val="0"/>
          <w:sz w:val="24"/>
          <w:szCs w:val="24"/>
        </w:rPr>
        <w:t>底盘悬架（前/后）</w:t>
      </w:r>
      <w:r>
        <w:rPr>
          <w:rFonts w:hint="eastAsia" w:ascii="宋体" w:hAnsi="宋体" w:eastAsia="宋体" w:cstheme="minorBidi"/>
          <w:kern w:val="0"/>
          <w:sz w:val="24"/>
          <w:szCs w:val="24"/>
        </w:rPr>
        <w:t>：</w:t>
      </w:r>
      <w:r>
        <w:rPr>
          <w:rFonts w:ascii="宋体" w:hAnsi="宋体" w:eastAsia="宋体" w:cstheme="minorBidi"/>
          <w:kern w:val="0"/>
          <w:sz w:val="24"/>
          <w:szCs w:val="24"/>
        </w:rPr>
        <w:t>增强型麦弗逊悬挂/多连杆独立悬挂</w:t>
      </w:r>
    </w:p>
    <w:p w14:paraId="5C6D0EE1">
      <w:pPr>
        <w:widowControl/>
        <w:spacing w:after="160" w:line="360" w:lineRule="auto"/>
        <w:ind w:firstLine="454"/>
        <w:rPr>
          <w:rFonts w:hint="eastAsia" w:ascii="宋体" w:hAnsi="宋体" w:eastAsia="宋体" w:cstheme="minorBidi"/>
          <w:kern w:val="0"/>
          <w:sz w:val="24"/>
          <w:szCs w:val="24"/>
        </w:rPr>
      </w:pPr>
      <w:r>
        <w:rPr>
          <w:rFonts w:hint="eastAsia" w:ascii="宋体" w:hAnsi="宋体" w:eastAsia="宋体" w:cstheme="minorBidi"/>
          <w:kern w:val="0"/>
          <w:sz w:val="24"/>
          <w:szCs w:val="24"/>
        </w:rPr>
        <w:t>（8）</w:t>
      </w:r>
      <w:r>
        <w:rPr>
          <w:rFonts w:ascii="宋体" w:hAnsi="宋体" w:eastAsia="宋体" w:cstheme="minorBidi"/>
          <w:kern w:val="0"/>
          <w:sz w:val="24"/>
          <w:szCs w:val="24"/>
        </w:rPr>
        <w:t>连续行驶里程：集成后的车辆在以55%最高车速匀速行驶时，续驶里程大于600km,具有良好的通过性、接近角、离地角、最小离地间隙。</w:t>
      </w:r>
    </w:p>
    <w:p w14:paraId="1EFE70C0">
      <w:pPr>
        <w:pStyle w:val="5"/>
        <w:widowControl/>
        <w:spacing w:before="100" w:after="100" w:line="435" w:lineRule="atLeast"/>
        <w:ind w:firstLine="480" w:firstLineChars="200"/>
        <w:rPr>
          <w:rStyle w:val="8"/>
          <w:rFonts w:hint="eastAsia" w:ascii="宋体" w:hAnsi="宋体" w:cs="宋体"/>
          <w:b w:val="0"/>
          <w:bCs/>
        </w:rPr>
      </w:pPr>
      <w:r>
        <w:rPr>
          <w:rFonts w:hint="eastAsia" w:ascii="宋体" w:hAnsi="宋体" w:cstheme="minorBidi"/>
        </w:rPr>
        <w:t>（9）</w:t>
      </w:r>
      <w:r>
        <w:rPr>
          <w:rFonts w:ascii="宋体" w:hAnsi="宋体" w:cstheme="minorBidi"/>
        </w:rPr>
        <w:t>其它要求：所选车辆应保证改装后车辆前、后桥满载质量不大于原车厂规定的满载质量。</w:t>
      </w:r>
    </w:p>
    <w:p w14:paraId="4FEAA939">
      <w:pPr>
        <w:pStyle w:val="5"/>
        <w:widowControl/>
        <w:spacing w:line="435" w:lineRule="atLeast"/>
        <w:rPr>
          <w:rStyle w:val="8"/>
          <w:rFonts w:hint="eastAsia" w:ascii="宋体" w:hAnsi="宋体" w:cs="宋体"/>
        </w:rPr>
      </w:pPr>
      <w:r>
        <w:rPr>
          <w:rStyle w:val="8"/>
          <w:rFonts w:hint="eastAsia" w:ascii="宋体" w:hAnsi="宋体" w:cs="宋体"/>
        </w:rPr>
        <w:t>5、交货期</w:t>
      </w:r>
    </w:p>
    <w:p w14:paraId="377F4F20">
      <w:pPr>
        <w:ind w:firstLine="480" w:firstLineChars="200"/>
        <w:rPr>
          <w:rFonts w:hint="eastAsia" w:ascii="宋体" w:hAnsi="宋体" w:eastAsia="宋体"/>
          <w:sz w:val="24"/>
          <w:szCs w:val="28"/>
        </w:rPr>
      </w:pPr>
      <w:r>
        <w:rPr>
          <w:rFonts w:hint="eastAsia" w:ascii="宋体" w:hAnsi="宋体" w:eastAsia="宋体"/>
          <w:sz w:val="24"/>
          <w:szCs w:val="28"/>
        </w:rPr>
        <w:t>自</w:t>
      </w:r>
      <w:r>
        <w:rPr>
          <w:rFonts w:hint="eastAsia" w:ascii="宋体" w:hAnsi="宋体" w:eastAsia="宋体" w:cstheme="minorBidi"/>
          <w:kern w:val="0"/>
          <w:sz w:val="24"/>
          <w:szCs w:val="24"/>
          <w:lang w:val="en-US" w:eastAsia="zh-CN" w:bidi="ar-SA"/>
        </w:rPr>
        <w:t>合同签订之日起180日。</w:t>
      </w:r>
    </w:p>
    <w:p w14:paraId="1E99B4D3">
      <w:pPr>
        <w:pStyle w:val="5"/>
        <w:widowControl/>
        <w:spacing w:line="435" w:lineRule="atLeast"/>
        <w:rPr>
          <w:rStyle w:val="8"/>
          <w:rFonts w:hint="eastAsia" w:ascii="宋体" w:hAnsi="宋体" w:cs="宋体"/>
        </w:rPr>
      </w:pPr>
      <w:r>
        <w:rPr>
          <w:rStyle w:val="8"/>
          <w:rFonts w:hint="eastAsia" w:ascii="宋体" w:hAnsi="宋体" w:cs="宋体"/>
        </w:rPr>
        <w:t>6、质量保修范围和保修期</w:t>
      </w:r>
    </w:p>
    <w:p w14:paraId="04A9C530">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 xml:space="preserve">1）质保期：按该型车市场公开销售承诺期限执行（免费保修期自验收完成之日起计算）。 </w:t>
      </w:r>
    </w:p>
    <w:p w14:paraId="79C9D69A">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2）供应商应有专人负责与采购人联系售后服务事宜，具有专门固定的售后服务电话，并能提供本地化服务。</w:t>
      </w:r>
    </w:p>
    <w:p w14:paraId="1C99FEB1">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 xml:space="preserve">3）在质保期内货物出现质量问题，供应商应在接到通知后12小时内响应，24小时内完成维修。货物需更换的应在7个工作日内完成更换。逾期未完成维修或更换的，每延迟一天供应商应向采购人支付合同总价1%的违约金。 </w:t>
      </w:r>
    </w:p>
    <w:p w14:paraId="5AD2A18F">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 xml:space="preserve">4）货物经供应商3次维修或更换仍不能达到本合同约定的质量标准，视作供应商未能按时交货，采购人有权退货并追究供应商的违约责任。 </w:t>
      </w:r>
    </w:p>
    <w:p w14:paraId="72586D26">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 xml:space="preserve">5）供应商承诺项目全部货物的各种部件均保证齐备、充足供应，若因产品升级更新等原因不能保障供应造成采购人损失的，供应商承担全部赔偿责任。 </w:t>
      </w:r>
    </w:p>
    <w:p w14:paraId="71F15F63">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6）质保期内供应商负责所有因货物质量问题而产生的费用。质保期满前一个月，供应商负责一次全面的检查、维护，并出具正式报告，如发现潜在问题，应负责排除且不收取任何费用。</w:t>
      </w:r>
    </w:p>
    <w:p w14:paraId="52D7EEAB">
      <w:pPr>
        <w:pStyle w:val="5"/>
        <w:widowControl/>
        <w:spacing w:line="435" w:lineRule="atLeast"/>
        <w:rPr>
          <w:rStyle w:val="8"/>
          <w:rFonts w:hint="eastAsia" w:ascii="宋体" w:hAnsi="宋体" w:cs="宋体"/>
        </w:rPr>
      </w:pPr>
      <w:r>
        <w:rPr>
          <w:rStyle w:val="8"/>
          <w:rFonts w:hint="eastAsia" w:ascii="宋体" w:hAnsi="宋体" w:cs="宋体"/>
        </w:rPr>
        <w:t>7、验收</w:t>
      </w:r>
    </w:p>
    <w:p w14:paraId="432CD834">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符合国家、行业标准、福建省地方标准规定的验收标准。严格按照《财政部关于进一步加强政府采购需求和履约验收管理的指导意见》（财库〔2016〕205号）及《政府采购需求管理办法》（财库〔2021〕22号 ）的要求组织验收。验收应以采购合同、采购及其补充文件、国家或行业相关标准为验收的主要依据。</w:t>
      </w:r>
    </w:p>
    <w:p w14:paraId="248D7E9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CE5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2AA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52AA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93710"/>
    <w:rsid w:val="2BA22BFF"/>
    <w:rsid w:val="32FB29DB"/>
    <w:rsid w:val="34D83B39"/>
    <w:rsid w:val="443A7A89"/>
    <w:rsid w:val="504870C6"/>
    <w:rsid w:val="66696C2D"/>
    <w:rsid w:val="70743FE8"/>
    <w:rsid w:val="7DA86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widowControl w:val="0"/>
      <w:snapToGrid w:val="0"/>
      <w:spacing w:line="360" w:lineRule="atLeast"/>
      <w:jc w:val="both"/>
      <w:outlineLvl w:val="0"/>
    </w:pPr>
    <w:rPr>
      <w:rFonts w:ascii="宋体" w:hAnsi="等线" w:eastAsia="等线"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Calibri" w:hAnsi="Calibri" w:eastAsia="宋体"/>
      <w:kern w:val="0"/>
      <w:sz w:val="24"/>
      <w:szCs w:val="24"/>
    </w:rPr>
  </w:style>
  <w:style w:type="character" w:styleId="8">
    <w:name w:val="Strong"/>
    <w:basedOn w:val="7"/>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3896</Words>
  <Characters>4108</Characters>
  <Lines>0</Lines>
  <Paragraphs>0</Paragraphs>
  <TotalTime>2</TotalTime>
  <ScaleCrop>false</ScaleCrop>
  <LinksUpToDate>false</LinksUpToDate>
  <CharactersWithSpaces>4118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彩虹</cp:lastModifiedBy>
  <dcterms:modified xsi:type="dcterms:W3CDTF">2025-09-05T02:31:15Z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eyJoZGlkIjoiYjJiMWYxZTE5Yjc0ZGJlZDgzYzFjYjA3NzQ2NDMzYTEiLCJ1c2VySWQiOiIxMDQ0MjkxMTYxIn0=</vt:lpwstr>
  </property>
  <property fmtid="{D5CDD505-2E9C-101B-9397-08002B2CF9AE}" pid="4" name="ICV">
    <vt:lpwstr>A7CB9B8FE3184CD7A3BEDC87019AED66_13</vt:lpwstr>
  </property>
</Properties>
</file>