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E8A0">
      <w:pPr>
        <w:spacing w:line="360" w:lineRule="auto"/>
        <w:rPr>
          <w:rFonts w:ascii="宋体" w:hAnsi="宋体" w:eastAsia="宋体" w:cs="T3Font_13"/>
          <w:kern w:val="0"/>
          <w:sz w:val="32"/>
          <w:szCs w:val="24"/>
        </w:rPr>
      </w:pPr>
      <w:r>
        <w:rPr>
          <w:rFonts w:hint="eastAsia" w:ascii="宋体" w:hAnsi="宋体" w:eastAsia="宋体" w:cs="T3Font_13"/>
          <w:kern w:val="0"/>
          <w:sz w:val="32"/>
          <w:szCs w:val="24"/>
        </w:rPr>
        <w:t>附件2</w:t>
      </w:r>
    </w:p>
    <w:p w14:paraId="7CF03D51">
      <w:pPr>
        <w:spacing w:line="360" w:lineRule="auto"/>
        <w:ind w:firstLine="640" w:firstLineChars="200"/>
        <w:jc w:val="center"/>
        <w:rPr>
          <w:rFonts w:ascii="宋体" w:hAnsi="宋体" w:eastAsia="宋体" w:cs="T3Font_36"/>
          <w:kern w:val="0"/>
          <w:sz w:val="32"/>
          <w:szCs w:val="24"/>
        </w:rPr>
      </w:pPr>
      <w:r>
        <w:rPr>
          <w:rFonts w:hint="eastAsia" w:ascii="宋体" w:hAnsi="宋体" w:eastAsia="宋体" w:cs="T3Font_13"/>
          <w:kern w:val="0"/>
          <w:sz w:val="32"/>
          <w:szCs w:val="24"/>
        </w:rPr>
        <w:t>南平市无线电管理局2025年无线电监测设施测试验证服务项目采购内容及要求</w:t>
      </w:r>
    </w:p>
    <w:p w14:paraId="1818A7C8">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一、项目概况</w:t>
      </w:r>
    </w:p>
    <w:p w14:paraId="169F18B3">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2017</w:t>
      </w:r>
      <w:r>
        <w:rPr>
          <w:rFonts w:hint="eastAsia" w:ascii="宋体" w:hAnsi="宋体" w:eastAsia="宋体" w:cs="宋体"/>
          <w:kern w:val="0"/>
          <w:sz w:val="24"/>
          <w:szCs w:val="24"/>
          <w:shd w:val="clear" w:color="auto" w:fill="FFFFFF"/>
        </w:rPr>
        <w:t>年，工信部先后印发了《工业和信息化部关于印发〈无线电监测设施测试验证工作规定（试行）〉的通知》《工业和信息化部无线电管理局关于进一步加强无线电监测设施测试验证工作的通知》，通过选择第三方机构对这些在用设施进行测试验证，对于了解设施的现状，为无线电管理工作提供有效可靠的数据支撑，为行政处罚工作提供有力证据具有重要的意义。</w:t>
      </w:r>
    </w:p>
    <w:p w14:paraId="46968C2F">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本项目拟通过书面询价选择有能力、专业、有资质的第三方机构，完成对我市无线电监测技术设施中的3个在用固定监测站和2套便携监测设备进行测试验证，进一步推进我市无线电技术设施的技术保障，更准确地完成无线电管理工作的日常监测。</w:t>
      </w:r>
    </w:p>
    <w:p w14:paraId="510D082A">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3、报价要求：</w:t>
      </w:r>
      <w:bookmarkStart w:id="0" w:name="_Hlk143530032"/>
      <w:r>
        <w:rPr>
          <w:rFonts w:hint="eastAsia" w:ascii="宋体" w:hAnsi="宋体" w:eastAsia="宋体" w:cs="宋体"/>
          <w:kern w:val="0"/>
          <w:sz w:val="24"/>
          <w:szCs w:val="24"/>
          <w:shd w:val="clear" w:color="auto" w:fill="FFFFFF"/>
        </w:rPr>
        <w:t>本项目实行总承包报价，最低价中标</w:t>
      </w:r>
      <w:bookmarkEnd w:id="0"/>
      <w:r>
        <w:rPr>
          <w:rFonts w:hint="eastAsia" w:ascii="宋体" w:hAnsi="宋体" w:eastAsia="宋体" w:cs="宋体"/>
          <w:kern w:val="0"/>
          <w:sz w:val="24"/>
          <w:szCs w:val="24"/>
          <w:shd w:val="clear" w:color="auto" w:fill="FFFFFF"/>
        </w:rPr>
        <w:t>；包含本项目所有服务内容、所需专用工具、税金等各种费用和其他所有成本费用的总和。</w:t>
      </w:r>
    </w:p>
    <w:p w14:paraId="335C461A">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二、技术和服务要求</w:t>
      </w:r>
    </w:p>
    <w:p w14:paraId="2EEBF0D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1.总体要求</w:t>
      </w:r>
    </w:p>
    <w:p w14:paraId="18ABE690">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负责完成南平市无线电管理局指定的监测设施的测试验证工作，本次需要进行测试验证的在用无线电监测设施具体如下：</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18"/>
        <w:gridCol w:w="1879"/>
        <w:gridCol w:w="3466"/>
        <w:gridCol w:w="1445"/>
        <w:gridCol w:w="942"/>
      </w:tblGrid>
      <w:tr w14:paraId="6FACF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40F91BB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112"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69D4B81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设 施 名 称</w:t>
            </w:r>
          </w:p>
        </w:tc>
        <w:tc>
          <w:tcPr>
            <w:tcW w:w="2051"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3D088B03">
            <w:pPr>
              <w:widowControl/>
              <w:spacing w:line="360" w:lineRule="auto"/>
              <w:jc w:val="center"/>
              <w:rPr>
                <w:rFonts w:ascii="宋体" w:hAnsi="宋体" w:eastAsia="宋体" w:cs="宋体"/>
                <w:kern w:val="0"/>
                <w:sz w:val="24"/>
                <w:szCs w:val="24"/>
              </w:rPr>
            </w:pPr>
            <w:r>
              <w:rPr>
                <w:rFonts w:hint="eastAsia" w:ascii="宋体" w:hAnsi="宋体" w:eastAsia="宋体" w:cs="宋体"/>
                <w:color w:val="000000" w:themeColor="text1"/>
                <w:kern w:val="0"/>
                <w:sz w:val="24"/>
                <w:szCs w:val="24"/>
              </w:rPr>
              <w:t>频率范围</w:t>
            </w:r>
          </w:p>
        </w:tc>
        <w:tc>
          <w:tcPr>
            <w:tcW w:w="85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3D01AD7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测试方式</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61BDAE5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14:paraId="129D3B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6E60F64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12"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9DFBD41">
            <w:pPr>
              <w:widowControl/>
              <w:rPr>
                <w:rFonts w:ascii="宋体" w:hAnsi="宋体" w:eastAsia="宋体" w:cs="宋体"/>
                <w:kern w:val="0"/>
                <w:sz w:val="24"/>
                <w:szCs w:val="24"/>
              </w:rPr>
            </w:pPr>
            <w:r>
              <w:rPr>
                <w:rFonts w:hint="eastAsia" w:ascii="宋体" w:hAnsi="宋体" w:eastAsia="宋体" w:cs="宋体"/>
                <w:kern w:val="0"/>
                <w:sz w:val="24"/>
                <w:szCs w:val="24"/>
              </w:rPr>
              <w:t>顺昌合掌岩固定站</w:t>
            </w:r>
          </w:p>
        </w:tc>
        <w:tc>
          <w:tcPr>
            <w:tcW w:w="2051"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5EFE84AB">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监测：20MHz-26500MHz</w:t>
            </w:r>
          </w:p>
          <w:p w14:paraId="7631D726">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测向：20MHz-8000MHz</w:t>
            </w:r>
          </w:p>
        </w:tc>
        <w:tc>
          <w:tcPr>
            <w:tcW w:w="85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8CB9E16">
            <w:pPr>
              <w:widowControl/>
              <w:jc w:val="center"/>
              <w:rPr>
                <w:rFonts w:ascii="宋体" w:hAnsi="宋体" w:eastAsia="宋体" w:cs="宋体"/>
                <w:kern w:val="0"/>
                <w:sz w:val="24"/>
                <w:szCs w:val="24"/>
              </w:rPr>
            </w:pPr>
            <w:r>
              <w:rPr>
                <w:rFonts w:hint="eastAsia" w:ascii="宋体" w:hAnsi="宋体" w:eastAsia="宋体" w:cs="宋体"/>
                <w:kern w:val="0"/>
                <w:sz w:val="24"/>
                <w:szCs w:val="24"/>
              </w:rPr>
              <w:t>采用现场测试方式</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18FE8D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3005CA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24918A1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12"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589D8E1">
            <w:pPr>
              <w:widowControl/>
              <w:jc w:val="center"/>
              <w:rPr>
                <w:rFonts w:ascii="宋体" w:hAnsi="宋体" w:eastAsia="宋体" w:cs="宋体"/>
                <w:kern w:val="0"/>
                <w:sz w:val="24"/>
                <w:szCs w:val="24"/>
              </w:rPr>
            </w:pPr>
            <w:r>
              <w:rPr>
                <w:rFonts w:hint="eastAsia" w:ascii="宋体" w:hAnsi="宋体" w:eastAsia="宋体" w:cs="宋体"/>
                <w:kern w:val="0"/>
                <w:sz w:val="24"/>
                <w:szCs w:val="24"/>
              </w:rPr>
              <w:t>建阳宝山固定站</w:t>
            </w:r>
          </w:p>
        </w:tc>
        <w:tc>
          <w:tcPr>
            <w:tcW w:w="2051"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06E923AC">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监测：20MHz-26500MHz</w:t>
            </w:r>
          </w:p>
          <w:p w14:paraId="7BC822F4">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测向：20MHz-8000MHz</w:t>
            </w:r>
          </w:p>
        </w:tc>
        <w:tc>
          <w:tcPr>
            <w:tcW w:w="85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3F05C577">
            <w:pPr>
              <w:widowControl/>
              <w:jc w:val="center"/>
              <w:rPr>
                <w:rFonts w:ascii="宋体" w:hAnsi="宋体" w:eastAsia="宋体" w:cs="宋体"/>
                <w:kern w:val="0"/>
                <w:sz w:val="24"/>
                <w:szCs w:val="24"/>
              </w:rPr>
            </w:pPr>
            <w:r>
              <w:rPr>
                <w:rFonts w:hint="eastAsia" w:ascii="宋体" w:hAnsi="宋体" w:eastAsia="宋体" w:cs="宋体"/>
                <w:kern w:val="0"/>
                <w:sz w:val="24"/>
                <w:szCs w:val="24"/>
              </w:rPr>
              <w:t>采用现场测试方式</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69BB6E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20F0F3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40130D9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12"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53B60DC5">
            <w:pPr>
              <w:widowControl/>
              <w:jc w:val="center"/>
              <w:rPr>
                <w:rFonts w:ascii="宋体" w:hAnsi="宋体" w:eastAsia="宋体" w:cs="宋体"/>
                <w:kern w:val="0"/>
                <w:sz w:val="24"/>
                <w:szCs w:val="24"/>
              </w:rPr>
            </w:pPr>
            <w:r>
              <w:rPr>
                <w:rFonts w:hint="eastAsia" w:ascii="宋体" w:hAnsi="宋体" w:eastAsia="宋体" w:cs="宋体"/>
                <w:kern w:val="0"/>
                <w:sz w:val="24"/>
                <w:szCs w:val="24"/>
              </w:rPr>
              <w:t>邵武万福山固定站</w:t>
            </w:r>
          </w:p>
        </w:tc>
        <w:tc>
          <w:tcPr>
            <w:tcW w:w="2051"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FA5963E">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监测：垂直20MHz-26500MHz</w:t>
            </w:r>
          </w:p>
          <w:p w14:paraId="39B676EE">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水平50MHz-1300MHz</w:t>
            </w:r>
          </w:p>
          <w:p w14:paraId="68F4D51D">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测向：20MHz-3000MHz</w:t>
            </w:r>
          </w:p>
        </w:tc>
        <w:tc>
          <w:tcPr>
            <w:tcW w:w="85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08F3DD88">
            <w:pPr>
              <w:widowControl/>
              <w:jc w:val="center"/>
              <w:rPr>
                <w:rFonts w:ascii="宋体" w:hAnsi="宋体" w:eastAsia="宋体" w:cs="宋体"/>
                <w:kern w:val="0"/>
                <w:sz w:val="24"/>
                <w:szCs w:val="24"/>
              </w:rPr>
            </w:pPr>
            <w:r>
              <w:rPr>
                <w:rFonts w:hint="eastAsia" w:ascii="宋体" w:hAnsi="宋体" w:eastAsia="宋体" w:cs="宋体"/>
                <w:kern w:val="0"/>
                <w:sz w:val="24"/>
                <w:szCs w:val="24"/>
              </w:rPr>
              <w:t>采用现场测试方式</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3B9BC0A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1D4035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2D6818A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12"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3F62B8CF">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便携监测设备</w:t>
            </w:r>
          </w:p>
        </w:tc>
        <w:tc>
          <w:tcPr>
            <w:tcW w:w="2051"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237283C5">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9kHz-7.5GHz</w:t>
            </w:r>
          </w:p>
        </w:tc>
        <w:tc>
          <w:tcPr>
            <w:tcW w:w="855"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0FF74AC9">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采用传导测试方式</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1EAF52A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1912E0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43"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57C2022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557" w:type="pct"/>
            <w:tcBorders>
              <w:top w:val="single" w:color="auto" w:sz="4" w:space="0"/>
              <w:left w:val="single" w:color="auto" w:sz="4" w:space="0"/>
              <w:bottom w:val="single" w:color="auto" w:sz="4" w:space="0"/>
              <w:right w:val="single" w:color="auto" w:sz="4" w:space="0"/>
            </w:tcBorders>
            <w:shd w:val="clear" w:color="auto" w:fill="FFFFFF"/>
            <w:tcMar>
              <w:top w:w="0" w:type="dxa"/>
              <w:left w:w="75" w:type="dxa"/>
              <w:bottom w:w="0" w:type="dxa"/>
              <w:right w:w="75" w:type="dxa"/>
            </w:tcMar>
            <w:vAlign w:val="center"/>
          </w:tcPr>
          <w:p w14:paraId="774092BC">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r>
    </w:tbl>
    <w:p w14:paraId="35913923">
      <w:pPr>
        <w:widowControl/>
        <w:spacing w:line="360" w:lineRule="auto"/>
        <w:ind w:firstLine="480" w:firstLineChars="200"/>
        <w:jc w:val="left"/>
        <w:rPr>
          <w:rFonts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2、测试项目</w:t>
      </w:r>
    </w:p>
    <w:p w14:paraId="2F0A7C8C">
      <w:pPr>
        <w:widowControl/>
        <w:spacing w:line="360" w:lineRule="auto"/>
        <w:ind w:firstLine="480" w:firstLineChars="200"/>
        <w:jc w:val="left"/>
        <w:rPr>
          <w:rFonts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w:t>
      </w:r>
      <w:r>
        <w:rPr>
          <w:rFonts w:ascii="宋体" w:hAnsi="宋体" w:eastAsia="宋体" w:cs="宋体"/>
          <w:bCs/>
          <w:kern w:val="0"/>
          <w:sz w:val="24"/>
          <w:szCs w:val="24"/>
          <w:shd w:val="clear" w:color="auto" w:fill="FFFFFF"/>
        </w:rPr>
        <w:t>1</w:t>
      </w:r>
      <w:r>
        <w:rPr>
          <w:rFonts w:hint="eastAsia" w:ascii="宋体" w:hAnsi="宋体" w:eastAsia="宋体" w:cs="宋体"/>
          <w:bCs/>
          <w:kern w:val="0"/>
          <w:sz w:val="24"/>
          <w:szCs w:val="24"/>
          <w:shd w:val="clear" w:color="auto" w:fill="FFFFFF"/>
        </w:rPr>
        <w:t>）</w:t>
      </w:r>
      <w:r>
        <w:rPr>
          <w:rFonts w:hint="eastAsia" w:ascii="宋体" w:hAnsi="宋体" w:eastAsia="宋体" w:cs="宋体"/>
          <w:kern w:val="0"/>
          <w:sz w:val="24"/>
          <w:szCs w:val="24"/>
          <w:shd w:val="clear" w:color="auto" w:fill="FFFFFF"/>
        </w:rPr>
        <w:t>固定监测站</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00"/>
        <w:gridCol w:w="3598"/>
        <w:gridCol w:w="3292"/>
      </w:tblGrid>
      <w:tr w14:paraId="015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70437E8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144" w:type="pct"/>
            <w:shd w:val="clear" w:color="auto" w:fill="FFFFFF"/>
            <w:tcMar>
              <w:top w:w="0" w:type="dxa"/>
              <w:left w:w="75" w:type="dxa"/>
              <w:bottom w:w="0" w:type="dxa"/>
              <w:right w:w="75" w:type="dxa"/>
            </w:tcMar>
            <w:vAlign w:val="center"/>
          </w:tcPr>
          <w:p w14:paraId="1C73A0B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测试项目</w:t>
            </w:r>
          </w:p>
        </w:tc>
        <w:tc>
          <w:tcPr>
            <w:tcW w:w="1962" w:type="pct"/>
            <w:shd w:val="clear" w:color="auto" w:fill="FFFFFF"/>
            <w:vAlign w:val="center"/>
          </w:tcPr>
          <w:p w14:paraId="2A87855C">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7F0D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38AC3EB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144" w:type="pct"/>
            <w:shd w:val="clear" w:color="auto" w:fill="FFFFFF"/>
            <w:tcMar>
              <w:top w:w="0" w:type="dxa"/>
              <w:left w:w="75" w:type="dxa"/>
              <w:bottom w:w="0" w:type="dxa"/>
              <w:right w:w="75" w:type="dxa"/>
            </w:tcMar>
            <w:vAlign w:val="center"/>
          </w:tcPr>
          <w:p w14:paraId="4DFE48F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测向精度</w:t>
            </w:r>
          </w:p>
        </w:tc>
        <w:tc>
          <w:tcPr>
            <w:tcW w:w="1962" w:type="pct"/>
            <w:shd w:val="clear" w:color="auto" w:fill="FFFFFF"/>
            <w:vAlign w:val="center"/>
          </w:tcPr>
          <w:p w14:paraId="2B18831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63CB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47A2D69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144" w:type="pct"/>
            <w:shd w:val="clear" w:color="auto" w:fill="FFFFFF"/>
            <w:tcMar>
              <w:top w:w="0" w:type="dxa"/>
              <w:left w:w="75" w:type="dxa"/>
              <w:bottom w:w="0" w:type="dxa"/>
              <w:right w:w="75" w:type="dxa"/>
            </w:tcMar>
            <w:vAlign w:val="center"/>
          </w:tcPr>
          <w:p w14:paraId="768BDF3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监测灵敏度</w:t>
            </w:r>
          </w:p>
        </w:tc>
        <w:tc>
          <w:tcPr>
            <w:tcW w:w="1962" w:type="pct"/>
            <w:shd w:val="clear" w:color="auto" w:fill="FFFFFF"/>
            <w:vAlign w:val="center"/>
          </w:tcPr>
          <w:p w14:paraId="1850F7C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3DD4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733482D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144" w:type="pct"/>
            <w:shd w:val="clear" w:color="auto" w:fill="FFFFFF"/>
            <w:tcMar>
              <w:top w:w="0" w:type="dxa"/>
              <w:left w:w="75" w:type="dxa"/>
              <w:bottom w:w="0" w:type="dxa"/>
              <w:right w:w="75" w:type="dxa"/>
            </w:tcMar>
            <w:vAlign w:val="center"/>
          </w:tcPr>
          <w:p w14:paraId="7CE3221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电平测量误差</w:t>
            </w:r>
          </w:p>
        </w:tc>
        <w:tc>
          <w:tcPr>
            <w:tcW w:w="1962" w:type="pct"/>
            <w:shd w:val="clear" w:color="auto" w:fill="FFFFFF"/>
            <w:vAlign w:val="center"/>
          </w:tcPr>
          <w:p w14:paraId="150DF20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5D9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41835E8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144" w:type="pct"/>
            <w:shd w:val="clear" w:color="auto" w:fill="FFFFFF"/>
            <w:tcMar>
              <w:top w:w="0" w:type="dxa"/>
              <w:left w:w="75" w:type="dxa"/>
              <w:bottom w:w="0" w:type="dxa"/>
              <w:right w:w="75" w:type="dxa"/>
            </w:tcMar>
            <w:vAlign w:val="center"/>
          </w:tcPr>
          <w:p w14:paraId="1EF42E5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频率准确度</w:t>
            </w:r>
          </w:p>
        </w:tc>
        <w:tc>
          <w:tcPr>
            <w:tcW w:w="1962" w:type="pct"/>
            <w:shd w:val="clear" w:color="auto" w:fill="FFFFFF"/>
            <w:vAlign w:val="center"/>
          </w:tcPr>
          <w:p w14:paraId="17C1379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191F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1E52183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144" w:type="pct"/>
            <w:shd w:val="clear" w:color="auto" w:fill="FFFFFF"/>
            <w:tcMar>
              <w:top w:w="0" w:type="dxa"/>
              <w:left w:w="75" w:type="dxa"/>
              <w:bottom w:w="0" w:type="dxa"/>
              <w:right w:w="75" w:type="dxa"/>
            </w:tcMar>
            <w:vAlign w:val="center"/>
          </w:tcPr>
          <w:p w14:paraId="5CDF465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接收机杂散发射</w:t>
            </w:r>
          </w:p>
        </w:tc>
        <w:tc>
          <w:tcPr>
            <w:tcW w:w="1962" w:type="pct"/>
            <w:shd w:val="clear" w:color="auto" w:fill="FFFFFF"/>
            <w:vAlign w:val="center"/>
          </w:tcPr>
          <w:p w14:paraId="26436CD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1493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3EB7D0E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2144" w:type="pct"/>
            <w:shd w:val="clear" w:color="auto" w:fill="FFFFFF"/>
            <w:tcMar>
              <w:top w:w="0" w:type="dxa"/>
              <w:left w:w="75" w:type="dxa"/>
              <w:bottom w:w="0" w:type="dxa"/>
              <w:right w:w="75" w:type="dxa"/>
            </w:tcMar>
            <w:vAlign w:val="center"/>
          </w:tcPr>
          <w:p w14:paraId="61419FC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扫描速度</w:t>
            </w:r>
          </w:p>
        </w:tc>
        <w:tc>
          <w:tcPr>
            <w:tcW w:w="1962" w:type="pct"/>
            <w:shd w:val="clear" w:color="auto" w:fill="FFFFFF"/>
            <w:vAlign w:val="center"/>
          </w:tcPr>
          <w:p w14:paraId="3586D10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729D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894" w:type="pct"/>
            <w:shd w:val="clear" w:color="auto" w:fill="FFFFFF"/>
            <w:tcMar>
              <w:top w:w="0" w:type="dxa"/>
              <w:left w:w="75" w:type="dxa"/>
              <w:bottom w:w="0" w:type="dxa"/>
              <w:right w:w="75" w:type="dxa"/>
            </w:tcMar>
            <w:vAlign w:val="center"/>
          </w:tcPr>
          <w:p w14:paraId="7A1FDD2E">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7</w:t>
            </w:r>
          </w:p>
        </w:tc>
        <w:tc>
          <w:tcPr>
            <w:tcW w:w="2144" w:type="pct"/>
            <w:shd w:val="clear" w:color="auto" w:fill="FFFFFF"/>
            <w:tcMar>
              <w:top w:w="0" w:type="dxa"/>
              <w:left w:w="75" w:type="dxa"/>
              <w:bottom w:w="0" w:type="dxa"/>
              <w:right w:w="75" w:type="dxa"/>
            </w:tcMar>
            <w:vAlign w:val="center"/>
          </w:tcPr>
          <w:p w14:paraId="0C29B88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驻波比</w:t>
            </w:r>
          </w:p>
        </w:tc>
        <w:tc>
          <w:tcPr>
            <w:tcW w:w="1962" w:type="pct"/>
            <w:shd w:val="clear" w:color="auto" w:fill="FFFFFF"/>
            <w:vAlign w:val="center"/>
          </w:tcPr>
          <w:p w14:paraId="3D35C1C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仅测试无源天线</w:t>
            </w:r>
          </w:p>
        </w:tc>
      </w:tr>
    </w:tbl>
    <w:p w14:paraId="47DB2BB7">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rPr>
        <w:t>）便携监测设备</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00"/>
        <w:gridCol w:w="3598"/>
        <w:gridCol w:w="3292"/>
      </w:tblGrid>
      <w:tr w14:paraId="0B6E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270FB01C">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144" w:type="pct"/>
            <w:shd w:val="clear" w:color="auto" w:fill="FFFFFF"/>
            <w:tcMar>
              <w:top w:w="0" w:type="dxa"/>
              <w:left w:w="75" w:type="dxa"/>
              <w:bottom w:w="0" w:type="dxa"/>
              <w:right w:w="75" w:type="dxa"/>
            </w:tcMar>
            <w:vAlign w:val="center"/>
          </w:tcPr>
          <w:p w14:paraId="1B766F6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测试项目</w:t>
            </w:r>
          </w:p>
        </w:tc>
        <w:tc>
          <w:tcPr>
            <w:tcW w:w="1962" w:type="pct"/>
            <w:shd w:val="clear" w:color="auto" w:fill="FFFFFF"/>
            <w:vAlign w:val="center"/>
          </w:tcPr>
          <w:p w14:paraId="2F4F8A1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29C2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5F17C6B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144" w:type="pct"/>
            <w:shd w:val="clear" w:color="auto" w:fill="FFFFFF"/>
            <w:tcMar>
              <w:top w:w="0" w:type="dxa"/>
              <w:left w:w="75" w:type="dxa"/>
              <w:bottom w:w="0" w:type="dxa"/>
              <w:right w:w="75" w:type="dxa"/>
            </w:tcMar>
            <w:vAlign w:val="center"/>
          </w:tcPr>
          <w:p w14:paraId="416FBE9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监测灵敏度</w:t>
            </w:r>
          </w:p>
        </w:tc>
        <w:tc>
          <w:tcPr>
            <w:tcW w:w="1962" w:type="pct"/>
            <w:shd w:val="clear" w:color="auto" w:fill="FFFFFF"/>
            <w:vAlign w:val="center"/>
          </w:tcPr>
          <w:p w14:paraId="6EC2F04C">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1154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4F5E58C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144" w:type="pct"/>
            <w:shd w:val="clear" w:color="auto" w:fill="FFFFFF"/>
            <w:tcMar>
              <w:top w:w="0" w:type="dxa"/>
              <w:left w:w="75" w:type="dxa"/>
              <w:bottom w:w="0" w:type="dxa"/>
              <w:right w:w="75" w:type="dxa"/>
            </w:tcMar>
            <w:vAlign w:val="center"/>
          </w:tcPr>
          <w:p w14:paraId="6E18833F">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电平测量误差</w:t>
            </w:r>
          </w:p>
        </w:tc>
        <w:tc>
          <w:tcPr>
            <w:tcW w:w="1962" w:type="pct"/>
            <w:shd w:val="clear" w:color="auto" w:fill="FFFFFF"/>
            <w:vAlign w:val="center"/>
          </w:tcPr>
          <w:p w14:paraId="535C0641">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0548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7E1AC9C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144" w:type="pct"/>
            <w:shd w:val="clear" w:color="auto" w:fill="FFFFFF"/>
            <w:tcMar>
              <w:top w:w="0" w:type="dxa"/>
              <w:left w:w="75" w:type="dxa"/>
              <w:bottom w:w="0" w:type="dxa"/>
              <w:right w:w="75" w:type="dxa"/>
            </w:tcMar>
            <w:vAlign w:val="center"/>
          </w:tcPr>
          <w:p w14:paraId="77CB6070">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频率准确度</w:t>
            </w:r>
          </w:p>
        </w:tc>
        <w:tc>
          <w:tcPr>
            <w:tcW w:w="1962" w:type="pct"/>
            <w:shd w:val="clear" w:color="auto" w:fill="FFFFFF"/>
            <w:vAlign w:val="center"/>
          </w:tcPr>
          <w:p w14:paraId="3E28086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6EC0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45D843F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144" w:type="pct"/>
            <w:shd w:val="clear" w:color="auto" w:fill="FFFFFF"/>
            <w:tcMar>
              <w:top w:w="0" w:type="dxa"/>
              <w:left w:w="75" w:type="dxa"/>
              <w:bottom w:w="0" w:type="dxa"/>
              <w:right w:w="75" w:type="dxa"/>
            </w:tcMar>
            <w:vAlign w:val="center"/>
          </w:tcPr>
          <w:p w14:paraId="43C1B795">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接收机杂散发射</w:t>
            </w:r>
          </w:p>
        </w:tc>
        <w:tc>
          <w:tcPr>
            <w:tcW w:w="1962" w:type="pct"/>
            <w:shd w:val="clear" w:color="auto" w:fill="FFFFFF"/>
            <w:vAlign w:val="center"/>
          </w:tcPr>
          <w:p w14:paraId="6B88B5E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r w14:paraId="7E24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94" w:type="pct"/>
            <w:shd w:val="clear" w:color="auto" w:fill="FFFFFF"/>
            <w:tcMar>
              <w:top w:w="0" w:type="dxa"/>
              <w:left w:w="75" w:type="dxa"/>
              <w:bottom w:w="0" w:type="dxa"/>
              <w:right w:w="75" w:type="dxa"/>
            </w:tcMar>
            <w:vAlign w:val="center"/>
          </w:tcPr>
          <w:p w14:paraId="2277D3C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144" w:type="pct"/>
            <w:shd w:val="clear" w:color="auto" w:fill="FFFFFF"/>
            <w:tcMar>
              <w:top w:w="0" w:type="dxa"/>
              <w:left w:w="75" w:type="dxa"/>
              <w:bottom w:w="0" w:type="dxa"/>
              <w:right w:w="75" w:type="dxa"/>
            </w:tcMar>
            <w:vAlign w:val="center"/>
          </w:tcPr>
          <w:p w14:paraId="6C199003">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扫描速度</w:t>
            </w:r>
          </w:p>
        </w:tc>
        <w:tc>
          <w:tcPr>
            <w:tcW w:w="1962" w:type="pct"/>
            <w:shd w:val="clear" w:color="auto" w:fill="FFFFFF"/>
            <w:vAlign w:val="center"/>
          </w:tcPr>
          <w:p w14:paraId="4E43772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r>
    </w:tbl>
    <w:p w14:paraId="67268D0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3、报告要求</w:t>
      </w:r>
    </w:p>
    <w:p w14:paraId="70E3FD92">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 xml:space="preserve">.1 </w:t>
      </w:r>
      <w:r>
        <w:rPr>
          <w:rFonts w:hint="eastAsia" w:ascii="宋体" w:hAnsi="宋体" w:eastAsia="宋体" w:cs="宋体"/>
          <w:kern w:val="0"/>
          <w:sz w:val="24"/>
          <w:szCs w:val="24"/>
          <w:shd w:val="clear" w:color="auto" w:fill="FFFFFF"/>
        </w:rPr>
        <w:t>测试标准</w:t>
      </w:r>
    </w:p>
    <w:p w14:paraId="45D3239B">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测试必须依据如下标准，条件必须满足相应标准要求。</w:t>
      </w:r>
    </w:p>
    <w:p w14:paraId="397BB5E6">
      <w:pPr>
        <w:widowControl/>
        <w:spacing w:line="36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VHF/UHF频段无线电监测接收机技术要求及测试方法》</w:t>
      </w:r>
      <w:r>
        <w:rPr>
          <w:rFonts w:hint="eastAsia" w:ascii="宋体" w:hAnsi="宋体" w:eastAsia="宋体" w:cs="宋体"/>
          <w:kern w:val="0"/>
          <w:sz w:val="24"/>
          <w:szCs w:val="24"/>
          <w:shd w:val="clear" w:color="auto" w:fill="FFFFFF"/>
        </w:rPr>
        <w:t>（</w:t>
      </w:r>
      <w:r>
        <w:rPr>
          <w:rFonts w:ascii="宋体" w:hAnsi="宋体" w:eastAsia="宋体" w:cs="Calibri"/>
          <w:kern w:val="0"/>
          <w:sz w:val="24"/>
          <w:szCs w:val="24"/>
          <w:shd w:val="clear" w:color="auto" w:fill="FFFFFF"/>
        </w:rPr>
        <w:t>GB/T 32401-2015</w:t>
      </w:r>
      <w:r>
        <w:rPr>
          <w:rFonts w:hint="eastAsia" w:ascii="宋体" w:hAnsi="宋体" w:eastAsia="宋体" w:cs="宋体"/>
          <w:kern w:val="0"/>
          <w:sz w:val="24"/>
          <w:szCs w:val="24"/>
          <w:shd w:val="clear" w:color="auto" w:fill="FFFFFF"/>
        </w:rPr>
        <w:t>）</w:t>
      </w:r>
    </w:p>
    <w:p w14:paraId="18392BA8">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3</w:t>
      </w:r>
      <w:r>
        <w:rPr>
          <w:rFonts w:ascii="宋体" w:hAnsi="宋体" w:eastAsia="宋体" w:cs="宋体"/>
          <w:bCs/>
          <w:kern w:val="0"/>
          <w:sz w:val="24"/>
          <w:szCs w:val="24"/>
          <w:shd w:val="clear" w:color="auto" w:fill="FFFFFF"/>
        </w:rPr>
        <w:t>.2</w:t>
      </w:r>
      <w:r>
        <w:rPr>
          <w:rFonts w:hint="eastAsia" w:ascii="宋体" w:hAnsi="宋体" w:eastAsia="宋体" w:cs="宋体"/>
          <w:bCs/>
          <w:kern w:val="0"/>
          <w:sz w:val="24"/>
          <w:szCs w:val="24"/>
          <w:shd w:val="clear" w:color="auto" w:fill="FFFFFF"/>
        </w:rPr>
        <w:t>报告测试项要求</w:t>
      </w:r>
    </w:p>
    <w:p w14:paraId="7E5D18C7">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（1）固定监测站提供的报告测试内容需包括如下参数。</w:t>
      </w:r>
    </w:p>
    <w:p w14:paraId="4626A159">
      <w:pPr>
        <w:widowControl/>
        <w:jc w:val="left"/>
        <w:rPr>
          <w:rFonts w:ascii="宋体" w:hAnsi="宋体" w:eastAsia="宋体" w:cs="宋体"/>
          <w:kern w:val="0"/>
          <w:sz w:val="24"/>
          <w:szCs w:val="24"/>
          <w:shd w:val="clear" w:color="auto" w:fill="FFFFFF"/>
        </w:rPr>
      </w:pPr>
      <w:r>
        <w:rPr>
          <w:rFonts w:ascii="宋体" w:hAnsi="宋体" w:eastAsia="宋体" w:cs="宋体"/>
          <w:kern w:val="0"/>
          <w:sz w:val="24"/>
          <w:szCs w:val="24"/>
          <w:shd w:val="clear" w:color="auto" w:fill="FFFFFF"/>
        </w:rPr>
        <w:br w:type="page"/>
      </w:r>
    </w:p>
    <w:p w14:paraId="1AF89CAB">
      <w:pPr>
        <w:autoSpaceDE w:val="0"/>
        <w:autoSpaceDN w:val="0"/>
        <w:adjustRightInd w:val="0"/>
        <w:spacing w:line="360" w:lineRule="auto"/>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表</w:t>
      </w:r>
      <w:r>
        <w:rPr>
          <w:rFonts w:ascii="宋体" w:hAnsi="宋体" w:eastAsia="宋体" w:cs="宋体"/>
          <w:kern w:val="0"/>
          <w:sz w:val="24"/>
          <w:szCs w:val="24"/>
        </w:rPr>
        <w:t xml:space="preserve">A </w:t>
      </w:r>
      <w:r>
        <w:rPr>
          <w:rFonts w:hint="eastAsia" w:ascii="宋体" w:hAnsi="宋体" w:eastAsia="宋体" w:cs="宋体"/>
          <w:kern w:val="0"/>
          <w:sz w:val="24"/>
          <w:szCs w:val="24"/>
        </w:rPr>
        <w:t>测试项要求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662"/>
        <w:gridCol w:w="4788"/>
      </w:tblGrid>
      <w:tr w14:paraId="7263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2167" w:type="pct"/>
            <w:shd w:val="clear" w:color="auto" w:fill="FFFFFF"/>
            <w:tcMar>
              <w:top w:w="0" w:type="dxa"/>
              <w:left w:w="75" w:type="dxa"/>
              <w:bottom w:w="0" w:type="dxa"/>
              <w:right w:w="75" w:type="dxa"/>
            </w:tcMar>
            <w:vAlign w:val="center"/>
          </w:tcPr>
          <w:p w14:paraId="63E380C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检测报告要求的测试项目</w:t>
            </w:r>
          </w:p>
        </w:tc>
        <w:tc>
          <w:tcPr>
            <w:tcW w:w="2833" w:type="pct"/>
            <w:shd w:val="clear" w:color="auto" w:fill="FFFFFF"/>
            <w:tcMar>
              <w:top w:w="0" w:type="dxa"/>
              <w:left w:w="75" w:type="dxa"/>
              <w:bottom w:w="0" w:type="dxa"/>
              <w:right w:w="75" w:type="dxa"/>
            </w:tcMar>
            <w:vAlign w:val="center"/>
          </w:tcPr>
          <w:p w14:paraId="0959254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依据标准</w:t>
            </w:r>
          </w:p>
        </w:tc>
      </w:tr>
      <w:tr w14:paraId="777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72C13623">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测向精度</w:t>
            </w:r>
          </w:p>
        </w:tc>
        <w:tc>
          <w:tcPr>
            <w:tcW w:w="2833" w:type="pct"/>
            <w:vMerge w:val="restart"/>
            <w:shd w:val="clear" w:color="auto" w:fill="FFFFFF"/>
            <w:tcMar>
              <w:top w:w="0" w:type="dxa"/>
              <w:left w:w="75" w:type="dxa"/>
              <w:bottom w:w="0" w:type="dxa"/>
              <w:right w:w="75" w:type="dxa"/>
            </w:tcMar>
            <w:vAlign w:val="center"/>
          </w:tcPr>
          <w:p w14:paraId="47607124">
            <w:pPr>
              <w:widowControl/>
              <w:spacing w:line="360" w:lineRule="auto"/>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VHF/UHF频段无线电监测接收机技术要求及测试方法》</w:t>
            </w:r>
            <w:r>
              <w:rPr>
                <w:rFonts w:hint="eastAsia" w:ascii="宋体" w:hAnsi="宋体" w:eastAsia="宋体" w:cs="宋体"/>
                <w:kern w:val="0"/>
                <w:sz w:val="24"/>
                <w:szCs w:val="24"/>
                <w:shd w:val="clear" w:color="auto" w:fill="FFFFFF"/>
              </w:rPr>
              <w:t>（</w:t>
            </w:r>
            <w:r>
              <w:rPr>
                <w:rFonts w:ascii="宋体" w:hAnsi="宋体" w:eastAsia="宋体" w:cs="Calibri"/>
                <w:kern w:val="0"/>
                <w:sz w:val="24"/>
                <w:szCs w:val="24"/>
                <w:shd w:val="clear" w:color="auto" w:fill="FFFFFF"/>
              </w:rPr>
              <w:t>GB/T 32401-2015</w:t>
            </w:r>
            <w:r>
              <w:rPr>
                <w:rFonts w:hint="eastAsia" w:ascii="宋体" w:hAnsi="宋体" w:eastAsia="宋体" w:cs="宋体"/>
                <w:kern w:val="0"/>
                <w:sz w:val="24"/>
                <w:szCs w:val="24"/>
                <w:shd w:val="clear" w:color="auto" w:fill="FFFFFF"/>
              </w:rPr>
              <w:t>）</w:t>
            </w:r>
          </w:p>
        </w:tc>
      </w:tr>
      <w:tr w14:paraId="27E0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14FCEBCF">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监测灵敏度</w:t>
            </w:r>
          </w:p>
        </w:tc>
        <w:tc>
          <w:tcPr>
            <w:tcW w:w="2833" w:type="pct"/>
            <w:vMerge w:val="continue"/>
            <w:shd w:val="clear" w:color="auto" w:fill="FFFFFF"/>
            <w:tcMar>
              <w:top w:w="0" w:type="dxa"/>
              <w:left w:w="75" w:type="dxa"/>
              <w:bottom w:w="0" w:type="dxa"/>
              <w:right w:w="75" w:type="dxa"/>
            </w:tcMar>
            <w:vAlign w:val="center"/>
          </w:tcPr>
          <w:p w14:paraId="0C5FEF2B">
            <w:pPr>
              <w:widowControl/>
              <w:spacing w:line="360" w:lineRule="auto"/>
              <w:jc w:val="left"/>
              <w:rPr>
                <w:rFonts w:ascii="宋体" w:hAnsi="宋体" w:eastAsia="宋体" w:cs="宋体"/>
                <w:kern w:val="0"/>
                <w:sz w:val="24"/>
                <w:szCs w:val="24"/>
                <w:shd w:val="clear" w:color="auto" w:fill="FFFFFF"/>
              </w:rPr>
            </w:pPr>
          </w:p>
        </w:tc>
      </w:tr>
      <w:tr w14:paraId="03C8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20D51013">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电平测量误差</w:t>
            </w:r>
          </w:p>
        </w:tc>
        <w:tc>
          <w:tcPr>
            <w:tcW w:w="2833" w:type="pct"/>
            <w:vMerge w:val="continue"/>
            <w:shd w:val="clear" w:color="auto" w:fill="auto"/>
            <w:vAlign w:val="center"/>
          </w:tcPr>
          <w:p w14:paraId="00D034A3">
            <w:pPr>
              <w:widowControl/>
              <w:spacing w:line="360" w:lineRule="auto"/>
              <w:jc w:val="left"/>
              <w:rPr>
                <w:rFonts w:ascii="宋体" w:hAnsi="宋体" w:eastAsia="宋体" w:cs="宋体"/>
                <w:kern w:val="0"/>
                <w:sz w:val="24"/>
                <w:szCs w:val="24"/>
              </w:rPr>
            </w:pPr>
          </w:p>
        </w:tc>
      </w:tr>
      <w:tr w14:paraId="1A14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139252EA">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频率准确度</w:t>
            </w:r>
          </w:p>
        </w:tc>
        <w:tc>
          <w:tcPr>
            <w:tcW w:w="2833" w:type="pct"/>
            <w:vMerge w:val="continue"/>
            <w:shd w:val="clear" w:color="auto" w:fill="auto"/>
            <w:vAlign w:val="center"/>
          </w:tcPr>
          <w:p w14:paraId="7310CB51">
            <w:pPr>
              <w:widowControl/>
              <w:spacing w:line="360" w:lineRule="auto"/>
              <w:jc w:val="left"/>
              <w:rPr>
                <w:rFonts w:ascii="宋体" w:hAnsi="宋体" w:eastAsia="宋体" w:cs="宋体"/>
                <w:kern w:val="0"/>
                <w:sz w:val="24"/>
                <w:szCs w:val="24"/>
              </w:rPr>
            </w:pPr>
          </w:p>
        </w:tc>
      </w:tr>
      <w:tr w14:paraId="3450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7EC5C36A">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接收机杂散发射</w:t>
            </w:r>
          </w:p>
        </w:tc>
        <w:tc>
          <w:tcPr>
            <w:tcW w:w="2833" w:type="pct"/>
            <w:vMerge w:val="continue"/>
            <w:shd w:val="clear" w:color="auto" w:fill="auto"/>
            <w:vAlign w:val="center"/>
          </w:tcPr>
          <w:p w14:paraId="6261E2E8">
            <w:pPr>
              <w:widowControl/>
              <w:spacing w:line="360" w:lineRule="auto"/>
              <w:jc w:val="left"/>
              <w:rPr>
                <w:rFonts w:ascii="宋体" w:hAnsi="宋体" w:eastAsia="宋体" w:cs="宋体"/>
                <w:kern w:val="0"/>
                <w:sz w:val="24"/>
                <w:szCs w:val="24"/>
              </w:rPr>
            </w:pPr>
          </w:p>
        </w:tc>
      </w:tr>
      <w:tr w14:paraId="7669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167" w:type="pct"/>
            <w:shd w:val="clear" w:color="auto" w:fill="FFFFFF"/>
            <w:tcMar>
              <w:top w:w="0" w:type="dxa"/>
              <w:left w:w="75" w:type="dxa"/>
              <w:bottom w:w="0" w:type="dxa"/>
              <w:right w:w="75" w:type="dxa"/>
            </w:tcMar>
            <w:vAlign w:val="center"/>
          </w:tcPr>
          <w:p w14:paraId="3B55727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扫描速度</w:t>
            </w:r>
          </w:p>
        </w:tc>
        <w:tc>
          <w:tcPr>
            <w:tcW w:w="2833" w:type="pct"/>
            <w:vMerge w:val="continue"/>
            <w:shd w:val="clear" w:color="auto" w:fill="auto"/>
            <w:vAlign w:val="center"/>
          </w:tcPr>
          <w:p w14:paraId="4BC7B166">
            <w:pPr>
              <w:widowControl/>
              <w:spacing w:line="360" w:lineRule="auto"/>
              <w:jc w:val="left"/>
              <w:rPr>
                <w:rFonts w:ascii="宋体" w:hAnsi="宋体" w:eastAsia="宋体" w:cs="宋体"/>
                <w:kern w:val="0"/>
                <w:sz w:val="24"/>
                <w:szCs w:val="24"/>
              </w:rPr>
            </w:pPr>
          </w:p>
        </w:tc>
      </w:tr>
      <w:tr w14:paraId="689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2167" w:type="pct"/>
            <w:shd w:val="clear" w:color="auto" w:fill="FFFFFF"/>
            <w:tcMar>
              <w:top w:w="0" w:type="dxa"/>
              <w:left w:w="75" w:type="dxa"/>
              <w:bottom w:w="0" w:type="dxa"/>
              <w:right w:w="75" w:type="dxa"/>
            </w:tcMar>
            <w:vAlign w:val="center"/>
          </w:tcPr>
          <w:p w14:paraId="7D1A5882">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驻波比</w:t>
            </w:r>
          </w:p>
        </w:tc>
        <w:tc>
          <w:tcPr>
            <w:tcW w:w="2833" w:type="pct"/>
            <w:vMerge w:val="continue"/>
            <w:shd w:val="clear" w:color="auto" w:fill="auto"/>
            <w:vAlign w:val="center"/>
          </w:tcPr>
          <w:p w14:paraId="2327A35B">
            <w:pPr>
              <w:widowControl/>
              <w:spacing w:line="360" w:lineRule="auto"/>
              <w:jc w:val="left"/>
              <w:rPr>
                <w:rFonts w:ascii="宋体" w:hAnsi="宋体" w:eastAsia="宋体" w:cs="宋体"/>
                <w:kern w:val="0"/>
                <w:sz w:val="24"/>
                <w:szCs w:val="24"/>
              </w:rPr>
            </w:pPr>
          </w:p>
        </w:tc>
      </w:tr>
    </w:tbl>
    <w:p w14:paraId="5FB914BD">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rPr>
        <w:t>）便携监测设备提供的报告测试内容需包括如下参数。</w:t>
      </w:r>
    </w:p>
    <w:p w14:paraId="68337DBA">
      <w:pPr>
        <w:autoSpaceDE w:val="0"/>
        <w:autoSpaceDN w:val="0"/>
        <w:adjustRightInd w:val="0"/>
        <w:spacing w:line="360" w:lineRule="auto"/>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表</w:t>
      </w:r>
      <w:r>
        <w:rPr>
          <w:rFonts w:ascii="宋体" w:hAnsi="宋体" w:eastAsia="宋体" w:cs="宋体"/>
          <w:kern w:val="0"/>
          <w:sz w:val="24"/>
          <w:szCs w:val="24"/>
        </w:rPr>
        <w:t xml:space="preserve">B </w:t>
      </w:r>
      <w:r>
        <w:rPr>
          <w:rFonts w:hint="eastAsia" w:ascii="宋体" w:hAnsi="宋体" w:eastAsia="宋体" w:cs="宋体"/>
          <w:kern w:val="0"/>
          <w:sz w:val="24"/>
          <w:szCs w:val="24"/>
        </w:rPr>
        <w:t>测试项要求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662"/>
        <w:gridCol w:w="4788"/>
      </w:tblGrid>
      <w:tr w14:paraId="7042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2167" w:type="pct"/>
            <w:shd w:val="clear" w:color="auto" w:fill="FFFFFF"/>
            <w:tcMar>
              <w:top w:w="0" w:type="dxa"/>
              <w:left w:w="75" w:type="dxa"/>
              <w:bottom w:w="0" w:type="dxa"/>
              <w:right w:w="75" w:type="dxa"/>
            </w:tcMar>
            <w:vAlign w:val="center"/>
          </w:tcPr>
          <w:p w14:paraId="05BC3D5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检测报告要求的测试项目</w:t>
            </w:r>
          </w:p>
        </w:tc>
        <w:tc>
          <w:tcPr>
            <w:tcW w:w="2833" w:type="pct"/>
            <w:shd w:val="clear" w:color="auto" w:fill="FFFFFF"/>
            <w:tcMar>
              <w:top w:w="0" w:type="dxa"/>
              <w:left w:w="75" w:type="dxa"/>
              <w:bottom w:w="0" w:type="dxa"/>
              <w:right w:w="75" w:type="dxa"/>
            </w:tcMar>
            <w:vAlign w:val="center"/>
          </w:tcPr>
          <w:p w14:paraId="3197C21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依据标准</w:t>
            </w:r>
          </w:p>
        </w:tc>
      </w:tr>
      <w:tr w14:paraId="05F6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662" w:type="dxa"/>
            <w:shd w:val="clear" w:color="auto" w:fill="FFFFFF"/>
            <w:tcMar>
              <w:top w:w="0" w:type="dxa"/>
              <w:left w:w="75" w:type="dxa"/>
              <w:bottom w:w="0" w:type="dxa"/>
              <w:right w:w="75" w:type="dxa"/>
            </w:tcMar>
            <w:vAlign w:val="center"/>
          </w:tcPr>
          <w:p w14:paraId="7BFDB15B">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监测灵敏度</w:t>
            </w:r>
          </w:p>
        </w:tc>
        <w:tc>
          <w:tcPr>
            <w:tcW w:w="2833" w:type="pct"/>
            <w:vMerge w:val="restart"/>
            <w:shd w:val="clear" w:color="auto" w:fill="FFFFFF"/>
            <w:tcMar>
              <w:top w:w="0" w:type="dxa"/>
              <w:left w:w="75" w:type="dxa"/>
              <w:bottom w:w="0" w:type="dxa"/>
              <w:right w:w="75" w:type="dxa"/>
            </w:tcMar>
            <w:vAlign w:val="center"/>
          </w:tcPr>
          <w:p w14:paraId="64E29092">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《VHF/UHF无线电监测测向系</w:t>
            </w:r>
            <w:bookmarkStart w:id="1" w:name="_GoBack"/>
            <w:bookmarkEnd w:id="1"/>
            <w:r>
              <w:rPr>
                <w:rFonts w:hint="eastAsia" w:ascii="宋体" w:hAnsi="宋体" w:eastAsia="宋体" w:cs="宋体"/>
                <w:kern w:val="0"/>
                <w:sz w:val="24"/>
                <w:szCs w:val="24"/>
                <w:shd w:val="clear" w:color="auto" w:fill="FFFFFF"/>
              </w:rPr>
              <w:t>统开场测试参数和测试方法》（GB/T 32401-2015）</w:t>
            </w:r>
          </w:p>
        </w:tc>
      </w:tr>
      <w:tr w14:paraId="640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662" w:type="dxa"/>
            <w:shd w:val="clear" w:color="auto" w:fill="FFFFFF"/>
            <w:tcMar>
              <w:top w:w="0" w:type="dxa"/>
              <w:left w:w="75" w:type="dxa"/>
              <w:bottom w:w="0" w:type="dxa"/>
              <w:right w:w="75" w:type="dxa"/>
            </w:tcMar>
            <w:vAlign w:val="center"/>
          </w:tcPr>
          <w:p w14:paraId="6359A0B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电平测量误差</w:t>
            </w:r>
          </w:p>
        </w:tc>
        <w:tc>
          <w:tcPr>
            <w:tcW w:w="2833" w:type="pct"/>
            <w:vMerge w:val="continue"/>
            <w:shd w:val="clear" w:color="auto" w:fill="auto"/>
            <w:vAlign w:val="center"/>
          </w:tcPr>
          <w:p w14:paraId="4AB26933">
            <w:pPr>
              <w:widowControl/>
              <w:spacing w:line="360" w:lineRule="auto"/>
              <w:jc w:val="left"/>
              <w:rPr>
                <w:rFonts w:ascii="宋体" w:hAnsi="宋体" w:eastAsia="宋体" w:cs="宋体"/>
                <w:kern w:val="0"/>
                <w:sz w:val="24"/>
                <w:szCs w:val="24"/>
              </w:rPr>
            </w:pPr>
          </w:p>
        </w:tc>
      </w:tr>
      <w:tr w14:paraId="2BE7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662" w:type="dxa"/>
            <w:shd w:val="clear" w:color="auto" w:fill="FFFFFF"/>
            <w:tcMar>
              <w:top w:w="0" w:type="dxa"/>
              <w:left w:w="75" w:type="dxa"/>
              <w:bottom w:w="0" w:type="dxa"/>
              <w:right w:w="75" w:type="dxa"/>
            </w:tcMar>
            <w:vAlign w:val="center"/>
          </w:tcPr>
          <w:p w14:paraId="0437ECA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频率准确度</w:t>
            </w:r>
          </w:p>
        </w:tc>
        <w:tc>
          <w:tcPr>
            <w:tcW w:w="2833" w:type="pct"/>
            <w:vMerge w:val="continue"/>
            <w:shd w:val="clear" w:color="auto" w:fill="auto"/>
            <w:vAlign w:val="center"/>
          </w:tcPr>
          <w:p w14:paraId="69CA701E">
            <w:pPr>
              <w:widowControl/>
              <w:spacing w:line="360" w:lineRule="auto"/>
              <w:jc w:val="left"/>
              <w:rPr>
                <w:rFonts w:ascii="宋体" w:hAnsi="宋体" w:eastAsia="宋体" w:cs="宋体"/>
                <w:kern w:val="0"/>
                <w:sz w:val="24"/>
                <w:szCs w:val="24"/>
              </w:rPr>
            </w:pPr>
          </w:p>
        </w:tc>
      </w:tr>
      <w:tr w14:paraId="0252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662" w:type="dxa"/>
            <w:shd w:val="clear" w:color="auto" w:fill="FFFFFF"/>
            <w:tcMar>
              <w:top w:w="0" w:type="dxa"/>
              <w:left w:w="75" w:type="dxa"/>
              <w:bottom w:w="0" w:type="dxa"/>
              <w:right w:w="75" w:type="dxa"/>
            </w:tcMar>
            <w:vAlign w:val="center"/>
          </w:tcPr>
          <w:p w14:paraId="545FA38A">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接收机杂散发射</w:t>
            </w:r>
          </w:p>
        </w:tc>
        <w:tc>
          <w:tcPr>
            <w:tcW w:w="2833" w:type="pct"/>
            <w:vMerge w:val="continue"/>
            <w:shd w:val="clear" w:color="auto" w:fill="auto"/>
            <w:vAlign w:val="center"/>
          </w:tcPr>
          <w:p w14:paraId="44BB2DDA">
            <w:pPr>
              <w:widowControl/>
              <w:spacing w:line="360" w:lineRule="auto"/>
              <w:jc w:val="left"/>
              <w:rPr>
                <w:rFonts w:ascii="宋体" w:hAnsi="宋体" w:eastAsia="宋体" w:cs="宋体"/>
                <w:kern w:val="0"/>
                <w:sz w:val="24"/>
                <w:szCs w:val="24"/>
              </w:rPr>
            </w:pPr>
          </w:p>
        </w:tc>
      </w:tr>
      <w:tr w14:paraId="7FB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662" w:type="dxa"/>
            <w:shd w:val="clear" w:color="auto" w:fill="FFFFFF"/>
            <w:tcMar>
              <w:top w:w="0" w:type="dxa"/>
              <w:left w:w="75" w:type="dxa"/>
              <w:bottom w:w="0" w:type="dxa"/>
              <w:right w:w="75" w:type="dxa"/>
            </w:tcMar>
            <w:vAlign w:val="center"/>
          </w:tcPr>
          <w:p w14:paraId="7C340B01">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扫描速度</w:t>
            </w:r>
          </w:p>
        </w:tc>
        <w:tc>
          <w:tcPr>
            <w:tcW w:w="2833" w:type="pct"/>
            <w:vMerge w:val="continue"/>
            <w:shd w:val="clear" w:color="auto" w:fill="auto"/>
            <w:vAlign w:val="center"/>
          </w:tcPr>
          <w:p w14:paraId="4FD402C6">
            <w:pPr>
              <w:widowControl/>
              <w:spacing w:line="360" w:lineRule="auto"/>
              <w:jc w:val="left"/>
              <w:rPr>
                <w:rFonts w:ascii="宋体" w:hAnsi="宋体" w:eastAsia="宋体" w:cs="宋体"/>
                <w:kern w:val="0"/>
                <w:sz w:val="24"/>
                <w:szCs w:val="24"/>
              </w:rPr>
            </w:pPr>
          </w:p>
        </w:tc>
      </w:tr>
    </w:tbl>
    <w:p w14:paraId="215F59B3">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4、服务要求</w:t>
      </w:r>
    </w:p>
    <w:p w14:paraId="4111C86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4</w:t>
      </w:r>
      <w:r>
        <w:rPr>
          <w:rFonts w:ascii="宋体" w:hAnsi="宋体" w:eastAsia="宋体" w:cs="宋体"/>
          <w:bCs/>
          <w:kern w:val="0"/>
          <w:sz w:val="24"/>
          <w:szCs w:val="24"/>
          <w:shd w:val="clear" w:color="auto" w:fill="FFFFFF"/>
        </w:rPr>
        <w:t xml:space="preserve">.1 </w:t>
      </w:r>
      <w:r>
        <w:rPr>
          <w:rFonts w:hint="eastAsia" w:ascii="宋体" w:hAnsi="宋体" w:eastAsia="宋体" w:cs="宋体"/>
          <w:bCs/>
          <w:kern w:val="0"/>
          <w:sz w:val="24"/>
          <w:szCs w:val="24"/>
          <w:shd w:val="clear" w:color="auto" w:fill="FFFFFF"/>
        </w:rPr>
        <w:t>质量保障</w:t>
      </w:r>
    </w:p>
    <w:p w14:paraId="2052B42C">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投标人应保证测试验证工作的质量，工作内容应纳入投标人自身质量管理体系管理，从质量策划、组织架构资源、流程管控、输入输出管控、方法改进等多个方面保证测试工作满足南平市无线电管理局需求。</w:t>
      </w:r>
    </w:p>
    <w:p w14:paraId="47F34A1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4</w:t>
      </w:r>
      <w:r>
        <w:rPr>
          <w:rFonts w:ascii="宋体" w:hAnsi="宋体" w:eastAsia="宋体" w:cs="宋体"/>
          <w:bCs/>
          <w:kern w:val="0"/>
          <w:sz w:val="24"/>
          <w:szCs w:val="24"/>
          <w:shd w:val="clear" w:color="auto" w:fill="FFFFFF"/>
        </w:rPr>
        <w:t xml:space="preserve">.2 </w:t>
      </w:r>
      <w:r>
        <w:rPr>
          <w:rFonts w:hint="eastAsia" w:ascii="宋体" w:hAnsi="宋体" w:eastAsia="宋体" w:cs="宋体"/>
          <w:bCs/>
          <w:kern w:val="0"/>
          <w:sz w:val="24"/>
          <w:szCs w:val="24"/>
          <w:shd w:val="clear" w:color="auto" w:fill="FFFFFF"/>
        </w:rPr>
        <w:t>测试人员要求</w:t>
      </w:r>
    </w:p>
    <w:p w14:paraId="5EB9C9D9">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为做好测试验证工作，投标人应派出专业的测试人员，具体要求如下：</w:t>
      </w:r>
    </w:p>
    <w:p w14:paraId="5C645270">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投标人应成立专门服务于本项目的项目组，固定项目组人员，对南平市无线电管理局提供支持，项目组成员联系方式应全部提供给南平市无线电管理局；</w:t>
      </w:r>
    </w:p>
    <w:p w14:paraId="1DD35C13">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在投标方案中必须给出确定的项目经理人，并承诺在中标之后，实际项目开展时由此确定人选担任本项目的项目经理，未经南平市无线电管理局许可不得随意更换，若因特殊原因需调整，需经南平市无线电管理局同意；</w:t>
      </w:r>
    </w:p>
    <w:p w14:paraId="6AF581F7">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项目组应含有具备无线电监测设施测试验证工作经历以及出具过无线电监测设施</w:t>
      </w:r>
      <w:r>
        <w:rPr>
          <w:rFonts w:ascii="宋体" w:hAnsi="宋体" w:eastAsia="宋体" w:cs="宋体"/>
          <w:kern w:val="0"/>
          <w:sz w:val="24"/>
          <w:szCs w:val="24"/>
          <w:shd w:val="clear" w:color="auto" w:fill="FFFFFF"/>
        </w:rPr>
        <w:t>CMA</w:t>
      </w:r>
      <w:r>
        <w:rPr>
          <w:rFonts w:hint="eastAsia" w:ascii="宋体" w:hAnsi="宋体" w:eastAsia="宋体" w:cs="宋体"/>
          <w:kern w:val="0"/>
          <w:sz w:val="24"/>
          <w:szCs w:val="24"/>
          <w:shd w:val="clear" w:color="auto" w:fill="FFFFFF"/>
        </w:rPr>
        <w:t>或</w:t>
      </w:r>
      <w:r>
        <w:rPr>
          <w:rFonts w:ascii="宋体" w:hAnsi="宋体" w:eastAsia="宋体" w:cs="宋体"/>
          <w:kern w:val="0"/>
          <w:sz w:val="24"/>
          <w:szCs w:val="24"/>
          <w:shd w:val="clear" w:color="auto" w:fill="FFFFFF"/>
        </w:rPr>
        <w:t>CNAS</w:t>
      </w:r>
      <w:r>
        <w:rPr>
          <w:rFonts w:hint="eastAsia" w:ascii="宋体" w:hAnsi="宋体" w:eastAsia="宋体" w:cs="宋体"/>
          <w:kern w:val="0"/>
          <w:sz w:val="24"/>
          <w:szCs w:val="24"/>
          <w:shd w:val="clear" w:color="auto" w:fill="FFFFFF"/>
        </w:rPr>
        <w:t>测试验证报告的人员；</w:t>
      </w:r>
    </w:p>
    <w:p w14:paraId="55098837">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南平市无线电管理局有权要求投标人更换不称职的测试人员，投标人在接到南平市无线电管理局通知后</w:t>
      </w:r>
      <w:r>
        <w:rPr>
          <w:rFonts w:ascii="宋体" w:hAnsi="宋体" w:eastAsia="宋体" w:cs="宋体"/>
          <w:kern w:val="0"/>
          <w:sz w:val="24"/>
          <w:szCs w:val="24"/>
          <w:shd w:val="clear" w:color="auto" w:fill="FFFFFF"/>
        </w:rPr>
        <w:t>10</w:t>
      </w:r>
      <w:r>
        <w:rPr>
          <w:rFonts w:hint="eastAsia" w:ascii="宋体" w:hAnsi="宋体" w:eastAsia="宋体" w:cs="宋体"/>
          <w:kern w:val="0"/>
          <w:sz w:val="24"/>
          <w:szCs w:val="24"/>
          <w:shd w:val="clear" w:color="auto" w:fill="FFFFFF"/>
        </w:rPr>
        <w:t>个工作日内完成服务技术人员更换。</w:t>
      </w:r>
    </w:p>
    <w:p w14:paraId="6B3578C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4</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3测试系统要求</w:t>
      </w:r>
    </w:p>
    <w:p w14:paraId="07DC3E4C">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投标人用于测试验证的测试系统（含仪器仪表等）应满足如下要求：</w:t>
      </w:r>
    </w:p>
    <w:p w14:paraId="3CA2492B">
      <w:pPr>
        <w:widowControl/>
        <w:spacing w:line="360" w:lineRule="auto"/>
        <w:ind w:firstLine="480" w:firstLineChars="200"/>
        <w:jc w:val="left"/>
        <w:rPr>
          <w:rFonts w:ascii="宋体" w:hAnsi="宋体" w:eastAsia="宋体" w:cs="宋体"/>
          <w:kern w:val="0"/>
          <w:sz w:val="24"/>
          <w:szCs w:val="24"/>
          <w:shd w:val="clear" w:color="auto" w:fill="FFFFFF"/>
        </w:rPr>
      </w:pPr>
      <w:r>
        <w:rPr>
          <w:rFonts w:ascii="宋体" w:hAnsi="宋体" w:eastAsia="宋体" w:cs="宋体"/>
          <w:kern w:val="0"/>
          <w:sz w:val="24"/>
          <w:szCs w:val="24"/>
          <w:shd w:val="clear" w:color="auto" w:fill="FFFFFF"/>
        </w:rPr>
        <w:t>测试系统包括信号发射器、馈线、频谱仪、天馈测试仪等</w:t>
      </w:r>
      <w:r>
        <w:rPr>
          <w:rFonts w:hint="eastAsia" w:ascii="宋体" w:hAnsi="宋体" w:eastAsia="宋体" w:cs="宋体"/>
          <w:kern w:val="0"/>
          <w:sz w:val="24"/>
          <w:szCs w:val="24"/>
          <w:shd w:val="clear" w:color="auto" w:fill="FFFFFF"/>
        </w:rPr>
        <w:t>；</w:t>
      </w:r>
    </w:p>
    <w:p w14:paraId="66EA731D">
      <w:pPr>
        <w:widowControl/>
        <w:spacing w:line="360" w:lineRule="auto"/>
        <w:ind w:firstLine="480" w:firstLineChars="200"/>
        <w:jc w:val="left"/>
        <w:rPr>
          <w:rFonts w:ascii="宋体" w:hAnsi="宋体" w:eastAsia="宋体" w:cs="宋体"/>
          <w:kern w:val="0"/>
          <w:sz w:val="24"/>
          <w:szCs w:val="24"/>
          <w:shd w:val="clear" w:color="auto" w:fill="FFFFFF"/>
        </w:rPr>
      </w:pPr>
      <w:r>
        <w:rPr>
          <w:rFonts w:ascii="宋体" w:hAnsi="宋体" w:eastAsia="宋体" w:cs="宋体"/>
          <w:kern w:val="0"/>
          <w:sz w:val="24"/>
          <w:szCs w:val="24"/>
          <w:shd w:val="clear" w:color="auto" w:fill="FFFFFF"/>
        </w:rPr>
        <w:t>所使用的测试设备和仪器仪表的频率范围、功率容量、输出功率、信号类型等应满足按标准进行测试的要求</w:t>
      </w:r>
      <w:r>
        <w:rPr>
          <w:rFonts w:hint="eastAsia" w:ascii="宋体" w:hAnsi="宋体" w:eastAsia="宋体" w:cs="宋体"/>
          <w:kern w:val="0"/>
          <w:sz w:val="24"/>
          <w:szCs w:val="24"/>
          <w:shd w:val="clear" w:color="auto" w:fill="FFFFFF"/>
        </w:rPr>
        <w:t>；</w:t>
      </w:r>
    </w:p>
    <w:p w14:paraId="78456833">
      <w:pPr>
        <w:widowControl/>
        <w:spacing w:line="360" w:lineRule="auto"/>
        <w:ind w:firstLine="480" w:firstLineChars="200"/>
        <w:jc w:val="left"/>
        <w:rPr>
          <w:rFonts w:ascii="宋体" w:hAnsi="宋体" w:eastAsia="宋体" w:cs="宋体"/>
          <w:bCs/>
          <w:kern w:val="0"/>
          <w:sz w:val="24"/>
          <w:szCs w:val="24"/>
          <w:shd w:val="clear" w:color="auto" w:fill="FFFFFF"/>
        </w:rPr>
      </w:pPr>
      <w:r>
        <w:rPr>
          <w:rFonts w:ascii="宋体" w:hAnsi="宋体" w:eastAsia="宋体" w:cs="宋体"/>
          <w:kern w:val="0"/>
          <w:sz w:val="24"/>
          <w:szCs w:val="24"/>
          <w:shd w:val="clear" w:color="auto" w:fill="FFFFFF"/>
        </w:rPr>
        <w:t>所使用的主要仪器仪表应取得计量合格证书，并在有效期内使用</w:t>
      </w:r>
      <w:r>
        <w:rPr>
          <w:rFonts w:ascii="宋体" w:hAnsi="宋体" w:eastAsia="宋体" w:cs="宋体"/>
          <w:bCs/>
          <w:kern w:val="0"/>
          <w:sz w:val="24"/>
          <w:szCs w:val="24"/>
          <w:shd w:val="clear" w:color="auto" w:fill="FFFFFF"/>
        </w:rPr>
        <w:t>（须提供仪器清单及主要设备的校准报告首页）</w:t>
      </w:r>
      <w:r>
        <w:rPr>
          <w:rFonts w:hint="eastAsia" w:ascii="宋体" w:hAnsi="宋体" w:eastAsia="宋体" w:cs="宋体"/>
          <w:bCs/>
          <w:kern w:val="0"/>
          <w:sz w:val="24"/>
          <w:szCs w:val="24"/>
          <w:shd w:val="clear" w:color="auto" w:fill="FFFFFF"/>
        </w:rPr>
        <w:t>；</w:t>
      </w:r>
    </w:p>
    <w:p w14:paraId="25957FC8">
      <w:pPr>
        <w:widowControl/>
        <w:spacing w:line="360" w:lineRule="auto"/>
        <w:ind w:firstLine="480" w:firstLineChars="200"/>
        <w:jc w:val="left"/>
        <w:rPr>
          <w:rFonts w:ascii="宋体" w:hAnsi="宋体" w:eastAsia="宋体" w:cs="宋体"/>
          <w:kern w:val="0"/>
          <w:sz w:val="24"/>
          <w:szCs w:val="24"/>
          <w:shd w:val="clear" w:color="auto" w:fill="FFFFFF"/>
        </w:rPr>
      </w:pPr>
      <w:r>
        <w:rPr>
          <w:rFonts w:ascii="宋体" w:hAnsi="宋体" w:eastAsia="宋体" w:cs="宋体"/>
          <w:kern w:val="0"/>
          <w:sz w:val="24"/>
          <w:szCs w:val="24"/>
          <w:shd w:val="clear" w:color="auto" w:fill="FFFFFF"/>
        </w:rPr>
        <w:t>测试设备和仪器仪表应具有足够的精度和稳定度</w:t>
      </w:r>
      <w:r>
        <w:rPr>
          <w:rFonts w:hint="eastAsia" w:ascii="宋体" w:hAnsi="宋体" w:eastAsia="宋体" w:cs="宋体"/>
          <w:kern w:val="0"/>
          <w:sz w:val="24"/>
          <w:szCs w:val="24"/>
          <w:shd w:val="clear" w:color="auto" w:fill="FFFFFF"/>
        </w:rPr>
        <w:t>；</w:t>
      </w:r>
    </w:p>
    <w:p w14:paraId="7F4B948A">
      <w:pPr>
        <w:widowControl/>
        <w:spacing w:line="360" w:lineRule="auto"/>
        <w:ind w:firstLine="480" w:firstLineChars="200"/>
        <w:jc w:val="left"/>
        <w:rPr>
          <w:rFonts w:ascii="宋体" w:hAnsi="宋体" w:eastAsia="宋体" w:cs="宋体"/>
          <w:kern w:val="0"/>
          <w:sz w:val="24"/>
          <w:szCs w:val="24"/>
          <w:shd w:val="clear" w:color="auto" w:fill="FFFFFF"/>
        </w:rPr>
      </w:pPr>
      <w:r>
        <w:rPr>
          <w:rFonts w:ascii="宋体" w:hAnsi="宋体" w:eastAsia="宋体" w:cs="宋体"/>
          <w:kern w:val="0"/>
          <w:sz w:val="24"/>
          <w:szCs w:val="24"/>
          <w:shd w:val="clear" w:color="auto" w:fill="FFFFFF"/>
        </w:rPr>
        <w:t>具有监测接收机和无线电监测/测向系统的自动测试系统。</w:t>
      </w:r>
    </w:p>
    <w:p w14:paraId="78513F02">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shd w:val="clear" w:color="auto" w:fill="FFFFFF"/>
        </w:rPr>
        <w:t>4</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4测试期限</w:t>
      </w:r>
    </w:p>
    <w:p w14:paraId="6B11FA43">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此次招标的无线电监测设施测试验证的期限为自合同签订之日起</w:t>
      </w:r>
      <w:r>
        <w:rPr>
          <w:rFonts w:ascii="宋体" w:hAnsi="宋体" w:eastAsia="宋体" w:cs="宋体"/>
          <w:kern w:val="0"/>
          <w:sz w:val="24"/>
          <w:szCs w:val="24"/>
          <w:shd w:val="clear" w:color="auto" w:fill="FFFFFF"/>
        </w:rPr>
        <w:t>30天</w:t>
      </w:r>
      <w:r>
        <w:rPr>
          <w:rFonts w:hint="eastAsia" w:ascii="宋体" w:hAnsi="宋体" w:eastAsia="宋体" w:cs="宋体"/>
          <w:kern w:val="0"/>
          <w:sz w:val="24"/>
          <w:szCs w:val="24"/>
          <w:shd w:val="clear" w:color="auto" w:fill="FFFFFF"/>
        </w:rPr>
        <w:t>内完成。如果由于南平市无线电管理局的原因或不可抗力的因素造成测试延期的，时间顺延。</w:t>
      </w:r>
    </w:p>
    <w:p w14:paraId="3317308C">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三、商务条件</w:t>
      </w:r>
    </w:p>
    <w:p w14:paraId="4E0E1EB8">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1、交付地点：南平市无线电管理局指定的地点。</w:t>
      </w:r>
    </w:p>
    <w:p w14:paraId="682557AF">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2、交付时间：自合同签订之日起30天内完成。</w:t>
      </w:r>
      <w:r>
        <w:rPr>
          <w:rFonts w:hint="eastAsia" w:ascii="宋体" w:hAnsi="宋体" w:eastAsia="宋体" w:cs="宋体"/>
          <w:bCs/>
          <w:kern w:val="0"/>
          <w:sz w:val="24"/>
          <w:szCs w:val="24"/>
        </w:rPr>
        <w:t>如果由于南平市无线电管理局的原因或不可抗力的因素造成测试延期的，时间顺延。</w:t>
      </w:r>
    </w:p>
    <w:p w14:paraId="7D3DBF48">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3、交付条件：中标人以满足招标要求的检测报告提交南平市无线电管理局。</w:t>
      </w:r>
    </w:p>
    <w:p w14:paraId="3AA5B71C">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4、是否收取履约保证金：否</w:t>
      </w:r>
    </w:p>
    <w:p w14:paraId="4F44FB29">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5、是否邀请投标人参与验收：否</w:t>
      </w:r>
    </w:p>
    <w:p w14:paraId="5B0CBE00">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6、验收方式数据表格</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1"/>
        <w:gridCol w:w="7319"/>
      </w:tblGrid>
      <w:tr w14:paraId="2066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596" w:type="pct"/>
            <w:shd w:val="clear" w:color="auto" w:fill="auto"/>
            <w:vAlign w:val="center"/>
          </w:tcPr>
          <w:p w14:paraId="301AE3CE">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4404" w:type="pct"/>
            <w:shd w:val="clear" w:color="auto" w:fill="auto"/>
            <w:vAlign w:val="center"/>
          </w:tcPr>
          <w:p w14:paraId="000BD036">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14:paraId="362D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96" w:type="pct"/>
            <w:shd w:val="clear" w:color="auto" w:fill="auto"/>
            <w:vAlign w:val="center"/>
          </w:tcPr>
          <w:p w14:paraId="2B8B05BD">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4404" w:type="pct"/>
            <w:shd w:val="clear" w:color="auto" w:fill="auto"/>
            <w:vAlign w:val="center"/>
          </w:tcPr>
          <w:p w14:paraId="6805DA1E">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按照招标文件、投标文件、采购合同以及相关行业标准等进行验收。</w:t>
            </w:r>
          </w:p>
        </w:tc>
      </w:tr>
    </w:tbl>
    <w:p w14:paraId="40731EB2">
      <w:pPr>
        <w:widowControl/>
        <w:spacing w:line="360" w:lineRule="auto"/>
        <w:ind w:firstLine="480" w:firstLineChars="200"/>
        <w:jc w:val="left"/>
        <w:rPr>
          <w:rFonts w:ascii="宋体" w:hAnsi="宋体" w:eastAsia="宋体" w:cs="宋体"/>
          <w:bCs/>
          <w:kern w:val="0"/>
          <w:sz w:val="24"/>
          <w:szCs w:val="24"/>
        </w:rPr>
      </w:pPr>
      <w:r>
        <w:rPr>
          <w:rFonts w:ascii="宋体" w:hAnsi="宋体" w:eastAsia="宋体" w:cs="宋体"/>
          <w:bCs/>
          <w:kern w:val="0"/>
          <w:sz w:val="24"/>
          <w:szCs w:val="24"/>
        </w:rPr>
        <w:t>7、支付方式数据表格</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31"/>
        <w:gridCol w:w="1422"/>
        <w:gridCol w:w="5763"/>
      </w:tblGrid>
      <w:tr w14:paraId="1D889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680" w:type="pct"/>
            <w:tcBorders>
              <w:top w:val="outset" w:color="auto" w:sz="6" w:space="0"/>
              <w:left w:val="outset" w:color="auto" w:sz="6" w:space="0"/>
              <w:bottom w:val="outset" w:color="auto" w:sz="6" w:space="0"/>
              <w:right w:val="outset" w:color="auto" w:sz="6" w:space="0"/>
            </w:tcBorders>
            <w:shd w:val="clear" w:color="auto" w:fill="auto"/>
            <w:vAlign w:val="center"/>
          </w:tcPr>
          <w:p w14:paraId="51063CD3">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855" w:type="pct"/>
            <w:tcBorders>
              <w:top w:val="outset" w:color="auto" w:sz="6" w:space="0"/>
              <w:left w:val="outset" w:color="auto" w:sz="6" w:space="0"/>
              <w:bottom w:val="outset" w:color="auto" w:sz="6" w:space="0"/>
              <w:right w:val="outset" w:color="auto" w:sz="6" w:space="0"/>
            </w:tcBorders>
            <w:shd w:val="clear" w:color="auto" w:fill="auto"/>
            <w:vAlign w:val="center"/>
          </w:tcPr>
          <w:p w14:paraId="5FCCEFD5">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3465" w:type="pct"/>
            <w:tcBorders>
              <w:top w:val="outset" w:color="auto" w:sz="6" w:space="0"/>
              <w:left w:val="outset" w:color="auto" w:sz="6" w:space="0"/>
              <w:bottom w:val="outset" w:color="auto" w:sz="6" w:space="0"/>
              <w:right w:val="outset" w:color="auto" w:sz="6" w:space="0"/>
            </w:tcBorders>
            <w:shd w:val="clear" w:color="auto" w:fill="auto"/>
            <w:vAlign w:val="center"/>
          </w:tcPr>
          <w:p w14:paraId="332EDBD2">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支付期次说明</w:t>
            </w:r>
          </w:p>
        </w:tc>
      </w:tr>
      <w:tr w14:paraId="48F845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0" w:type="pct"/>
            <w:tcBorders>
              <w:top w:val="outset" w:color="auto" w:sz="6" w:space="0"/>
              <w:left w:val="outset" w:color="auto" w:sz="6" w:space="0"/>
              <w:bottom w:val="outset" w:color="auto" w:sz="6" w:space="0"/>
              <w:right w:val="outset" w:color="auto" w:sz="6" w:space="0"/>
            </w:tcBorders>
            <w:shd w:val="clear" w:color="auto" w:fill="auto"/>
          </w:tcPr>
          <w:p w14:paraId="0B05806C">
            <w:pPr>
              <w:widowControl/>
              <w:spacing w:line="360" w:lineRule="auto"/>
              <w:jc w:val="center"/>
              <w:rPr>
                <w:rFonts w:ascii="宋体" w:hAnsi="宋体" w:eastAsia="宋体" w:cs="宋体"/>
                <w:kern w:val="0"/>
                <w:sz w:val="24"/>
                <w:szCs w:val="24"/>
              </w:rPr>
            </w:pPr>
            <w:r>
              <w:rPr>
                <w:rFonts w:hint="eastAsia"/>
                <w:shd w:val="clear" w:color="auto" w:fill="FFFFFF"/>
              </w:rPr>
              <w:t>1</w:t>
            </w:r>
          </w:p>
        </w:tc>
        <w:tc>
          <w:tcPr>
            <w:tcW w:w="855" w:type="pct"/>
            <w:tcBorders>
              <w:top w:val="outset" w:color="auto" w:sz="6" w:space="0"/>
              <w:left w:val="outset" w:color="auto" w:sz="6" w:space="0"/>
              <w:bottom w:val="outset" w:color="auto" w:sz="6" w:space="0"/>
              <w:right w:val="outset" w:color="auto" w:sz="6" w:space="0"/>
            </w:tcBorders>
            <w:shd w:val="clear" w:color="auto" w:fill="auto"/>
          </w:tcPr>
          <w:p w14:paraId="0E86612B">
            <w:pPr>
              <w:widowControl/>
              <w:spacing w:line="360" w:lineRule="auto"/>
              <w:jc w:val="center"/>
              <w:rPr>
                <w:rFonts w:ascii="宋体" w:hAnsi="宋体" w:eastAsia="宋体" w:cs="宋体"/>
                <w:kern w:val="0"/>
                <w:sz w:val="24"/>
                <w:szCs w:val="24"/>
              </w:rPr>
            </w:pPr>
            <w:r>
              <w:rPr>
                <w:shd w:val="clear" w:color="auto" w:fill="FFFFFF"/>
              </w:rPr>
              <w:t>100</w:t>
            </w:r>
          </w:p>
        </w:tc>
        <w:tc>
          <w:tcPr>
            <w:tcW w:w="3465" w:type="pct"/>
            <w:tcBorders>
              <w:top w:val="outset" w:color="auto" w:sz="6" w:space="0"/>
              <w:left w:val="outset" w:color="auto" w:sz="6" w:space="0"/>
              <w:bottom w:val="outset" w:color="auto" w:sz="6" w:space="0"/>
              <w:right w:val="outset" w:color="auto" w:sz="6" w:space="0"/>
            </w:tcBorders>
            <w:shd w:val="clear" w:color="auto" w:fill="auto"/>
          </w:tcPr>
          <w:p w14:paraId="374F5B2D">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终验合格后，在</w:t>
            </w:r>
            <w:r>
              <w:rPr>
                <w:rFonts w:ascii="宋体" w:hAnsi="宋体" w:eastAsia="宋体" w:cs="宋体"/>
                <w:kern w:val="0"/>
                <w:sz w:val="24"/>
                <w:szCs w:val="24"/>
              </w:rPr>
              <w:t>15个工作日内支付合同金额的</w:t>
            </w:r>
            <w:r>
              <w:rPr>
                <w:rFonts w:hint="eastAsia" w:ascii="宋体" w:hAnsi="宋体" w:eastAsia="宋体" w:cs="宋体"/>
                <w:kern w:val="0"/>
                <w:sz w:val="24"/>
                <w:szCs w:val="24"/>
              </w:rPr>
              <w:t>1</w:t>
            </w:r>
            <w:r>
              <w:rPr>
                <w:rFonts w:ascii="宋体" w:hAnsi="宋体" w:eastAsia="宋体" w:cs="宋体"/>
                <w:kern w:val="0"/>
                <w:sz w:val="24"/>
                <w:szCs w:val="24"/>
              </w:rPr>
              <w:t>00%</w:t>
            </w:r>
          </w:p>
        </w:tc>
      </w:tr>
    </w:tbl>
    <w:p w14:paraId="273672B8">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8、验收要求</w:t>
      </w:r>
    </w:p>
    <w:p w14:paraId="1FF58B1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8.1应制定科学合理、分步骤、分批次的测试验证方案。</w:t>
      </w:r>
    </w:p>
    <w:p w14:paraId="0C6897C3">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8.2保证测试验证的公正性，保证数据的真实性和可靠性。</w:t>
      </w:r>
    </w:p>
    <w:p w14:paraId="04079AB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8.3根据国家的相关法规，流程化管理，确保测试的科学性。</w:t>
      </w:r>
    </w:p>
    <w:p w14:paraId="4260D13C">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8.4根据国家相关的技术标准和规范进行测试，确保测试过程每个环节都严谨可靠，做到所出具的报告准确无误。</w:t>
      </w:r>
    </w:p>
    <w:p w14:paraId="08D06862">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8.5应具有成熟的测试经验，能够制定相对应的测试流程，确保测试的稳定性、一致性。</w:t>
      </w:r>
    </w:p>
    <w:p w14:paraId="17A0077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8.6严格按照国家规定及标准进行测试，确保用于测试验证工作的仪器设备均处于计量校准有效期内，保证数据真实有效。</w:t>
      </w:r>
    </w:p>
    <w:p w14:paraId="5C6E3DDF">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8.7对被测设备的技术资料、样品及测试结果等做到零扩散，严格遵守保密原则。</w:t>
      </w:r>
    </w:p>
    <w:p w14:paraId="1C8DFB6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8.8按照招标文件、投标文件、采购合同以及相关行业标准的等进行验收。</w:t>
      </w:r>
    </w:p>
    <w:p w14:paraId="40DAF09C">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9、服务质量保障（违约责任）</w:t>
      </w:r>
    </w:p>
    <w:p w14:paraId="57938F6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若中标人违反以下要求，将承担违约责任，违约金从支付给中标人的合同款项中扣除，不足部分由中标人予以补足：</w:t>
      </w:r>
    </w:p>
    <w:p w14:paraId="54496C5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9.1因中标人未按招标要求提供服务（如无法按测试标准或无法提供测试场地或无法安排专业测试人员、仪器系统等完成相关设备测试验证服务内容），采购人有权请其他服务商来进行处理解决，除产生的费用由中标人承担外，采购人还有权要求中标人偿还已支付的合同款项，并有权立即终止合同，给采购人造成损失的还应予以赔偿。</w:t>
      </w:r>
    </w:p>
    <w:p w14:paraId="4177635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9.2中标人违反安全、保密管理规定</w:t>
      </w:r>
      <w:r>
        <w:rPr>
          <w:rFonts w:ascii="宋体" w:hAnsi="宋体" w:eastAsia="宋体" w:cs="Calibri"/>
          <w:kern w:val="0"/>
          <w:sz w:val="24"/>
          <w:szCs w:val="24"/>
          <w:shd w:val="clear" w:color="auto" w:fill="FFFFFF"/>
        </w:rPr>
        <w:t>(</w:t>
      </w:r>
      <w:r>
        <w:rPr>
          <w:rFonts w:hint="eastAsia" w:ascii="宋体" w:hAnsi="宋体" w:eastAsia="宋体" w:cs="宋体"/>
          <w:kern w:val="0"/>
          <w:sz w:val="24"/>
          <w:szCs w:val="24"/>
          <w:shd w:val="clear" w:color="auto" w:fill="FFFFFF"/>
        </w:rPr>
        <w:t>如对被测设备的技术资料、样品及测试报告等未经授权随意扩散等情况</w:t>
      </w:r>
      <w:r>
        <w:rPr>
          <w:rFonts w:ascii="宋体" w:hAnsi="宋体" w:eastAsia="宋体" w:cs="Calibri"/>
          <w:kern w:val="0"/>
          <w:sz w:val="24"/>
          <w:szCs w:val="24"/>
          <w:shd w:val="clear" w:color="auto" w:fill="FFFFFF"/>
        </w:rPr>
        <w:t>)</w:t>
      </w:r>
      <w:r>
        <w:rPr>
          <w:rFonts w:hint="eastAsia" w:ascii="宋体" w:hAnsi="宋体" w:eastAsia="宋体" w:cs="宋体"/>
          <w:kern w:val="0"/>
          <w:sz w:val="24"/>
          <w:szCs w:val="24"/>
          <w:shd w:val="clear" w:color="auto" w:fill="FFFFFF"/>
        </w:rPr>
        <w:t>，每次处以</w:t>
      </w:r>
      <w:r>
        <w:rPr>
          <w:rFonts w:ascii="宋体" w:hAnsi="宋体" w:eastAsia="宋体" w:cs="Calibri"/>
          <w:kern w:val="0"/>
          <w:sz w:val="24"/>
          <w:szCs w:val="24"/>
          <w:shd w:val="clear" w:color="auto" w:fill="FFFFFF"/>
        </w:rPr>
        <w:t>5</w:t>
      </w:r>
      <w:r>
        <w:rPr>
          <w:rFonts w:hint="eastAsia" w:ascii="宋体" w:hAnsi="宋体" w:eastAsia="宋体" w:cs="宋体"/>
          <w:kern w:val="0"/>
          <w:sz w:val="24"/>
          <w:szCs w:val="24"/>
          <w:shd w:val="clear" w:color="auto" w:fill="FFFFFF"/>
        </w:rPr>
        <w:t>千元的违约金，给采购人造成安全保密问题的还将追究法律责任。</w:t>
      </w:r>
    </w:p>
    <w:p w14:paraId="65BB5346">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9.3中标人服务团队人员应相对固定，未经双方商榷，中标人私自变更调整服务团队人员，发现一例扣</w:t>
      </w:r>
      <w:r>
        <w:rPr>
          <w:rFonts w:hint="eastAsia" w:ascii="宋体" w:hAnsi="宋体" w:eastAsia="宋体" w:cs="Calibri"/>
          <w:kern w:val="0"/>
          <w:sz w:val="24"/>
          <w:szCs w:val="24"/>
          <w:shd w:val="clear" w:color="auto" w:fill="FFFFFF"/>
        </w:rPr>
        <w:t>3000</w:t>
      </w:r>
      <w:r>
        <w:rPr>
          <w:rFonts w:hint="eastAsia" w:ascii="宋体" w:hAnsi="宋体" w:eastAsia="宋体" w:cs="宋体"/>
          <w:kern w:val="0"/>
          <w:sz w:val="24"/>
          <w:szCs w:val="24"/>
          <w:shd w:val="clear" w:color="auto" w:fill="FFFFFF"/>
        </w:rPr>
        <w:t>元的违约金。</w:t>
      </w:r>
    </w:p>
    <w:p w14:paraId="423086D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9.4对被测设备实施服务过程中，若发生设备损坏，中标人应将损坏设备送原厂修复，由此产生的维修费用由中标人承担，若设备无法修复或设备发生丢失等安全事故给采购人造成损失的还应予以赔偿。</w:t>
      </w:r>
    </w:p>
    <w:p w14:paraId="5AB8813C">
      <w:pPr>
        <w:widowControl/>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9.5中标人完成服务后将被测设备移交回采购人时，若发现设备功能异常，采购人有权要求中标人安排专业人员对被测设备功能进行调测直至恢复正常，所产生的费用由中标人承担。</w:t>
      </w:r>
    </w:p>
    <w:p w14:paraId="6F6BC1E8">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10、其他事项</w:t>
      </w:r>
    </w:p>
    <w:p w14:paraId="66D311C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10.1若中标人未按照招标文件的要求（即包括但不限于未按交付时间、地点以及交付条件和内容）履行合同约定的，每逾期</w:t>
      </w:r>
      <w:r>
        <w:rPr>
          <w:rFonts w:ascii="宋体" w:hAnsi="宋体" w:eastAsia="宋体" w:cs="Calibri"/>
          <w:kern w:val="0"/>
          <w:sz w:val="24"/>
          <w:szCs w:val="24"/>
          <w:shd w:val="clear" w:color="auto" w:fill="FFFFFF"/>
        </w:rPr>
        <w:t>1</w:t>
      </w:r>
      <w:r>
        <w:rPr>
          <w:rFonts w:hint="eastAsia" w:ascii="宋体" w:hAnsi="宋体" w:eastAsia="宋体" w:cs="宋体"/>
          <w:kern w:val="0"/>
          <w:sz w:val="24"/>
          <w:szCs w:val="24"/>
          <w:shd w:val="clear" w:color="auto" w:fill="FFFFFF"/>
        </w:rPr>
        <w:t>天，中标人应向采购人支付</w:t>
      </w:r>
      <w:r>
        <w:rPr>
          <w:rFonts w:ascii="宋体" w:hAnsi="宋体" w:eastAsia="宋体" w:cs="Calibri"/>
          <w:kern w:val="0"/>
          <w:sz w:val="24"/>
          <w:szCs w:val="24"/>
          <w:shd w:val="clear" w:color="auto" w:fill="FFFFFF"/>
        </w:rPr>
        <w:t>3000</w:t>
      </w:r>
      <w:r>
        <w:rPr>
          <w:rFonts w:hint="eastAsia" w:ascii="宋体" w:hAnsi="宋体" w:eastAsia="宋体" w:cs="宋体"/>
          <w:kern w:val="0"/>
          <w:sz w:val="24"/>
          <w:szCs w:val="24"/>
          <w:shd w:val="clear" w:color="auto" w:fill="FFFFFF"/>
        </w:rPr>
        <w:t>元的违约金，若因此给采购人造成损失的，中标人还应赔偿采购人所受的损失，若违约时间逾期超过</w:t>
      </w:r>
      <w:r>
        <w:rPr>
          <w:rFonts w:ascii="宋体" w:hAnsi="宋体" w:eastAsia="宋体" w:cs="Calibri"/>
          <w:kern w:val="0"/>
          <w:sz w:val="24"/>
          <w:szCs w:val="24"/>
          <w:shd w:val="clear" w:color="auto" w:fill="FFFFFF"/>
        </w:rPr>
        <w:t>15</w:t>
      </w:r>
      <w:r>
        <w:rPr>
          <w:rFonts w:hint="eastAsia" w:ascii="宋体" w:hAnsi="宋体" w:eastAsia="宋体" w:cs="宋体"/>
          <w:kern w:val="0"/>
          <w:sz w:val="24"/>
          <w:szCs w:val="24"/>
          <w:shd w:val="clear" w:color="auto" w:fill="FFFFFF"/>
        </w:rPr>
        <w:t>天（含</w:t>
      </w:r>
      <w:r>
        <w:rPr>
          <w:rFonts w:ascii="宋体" w:hAnsi="宋体" w:eastAsia="宋体" w:cs="Calibri"/>
          <w:kern w:val="0"/>
          <w:sz w:val="24"/>
          <w:szCs w:val="24"/>
          <w:shd w:val="clear" w:color="auto" w:fill="FFFFFF"/>
        </w:rPr>
        <w:t>15</w:t>
      </w:r>
      <w:r>
        <w:rPr>
          <w:rFonts w:hint="eastAsia" w:ascii="宋体" w:hAnsi="宋体" w:eastAsia="宋体" w:cs="宋体"/>
          <w:kern w:val="0"/>
          <w:sz w:val="24"/>
          <w:szCs w:val="24"/>
          <w:shd w:val="clear" w:color="auto" w:fill="FFFFFF"/>
        </w:rPr>
        <w:t>天）以上的，采购人有权单方解除合同，中标人仍应按上述约定支付延期服务违约金。若因此给采购人造成损失的，还应赔偿采购人所受的损失</w:t>
      </w:r>
      <w:r>
        <w:rPr>
          <w:rFonts w:ascii="宋体" w:hAnsi="宋体" w:eastAsia="宋体" w:cs="Calibri"/>
          <w:kern w:val="0"/>
          <w:sz w:val="24"/>
          <w:szCs w:val="24"/>
          <w:shd w:val="clear" w:color="auto" w:fill="FFFFFF"/>
        </w:rPr>
        <w:t>(</w:t>
      </w:r>
      <w:r>
        <w:rPr>
          <w:rFonts w:hint="eastAsia" w:ascii="宋体" w:hAnsi="宋体" w:eastAsia="宋体" w:cs="宋体"/>
          <w:kern w:val="0"/>
          <w:sz w:val="24"/>
          <w:szCs w:val="24"/>
          <w:shd w:val="clear" w:color="auto" w:fill="FFFFFF"/>
        </w:rPr>
        <w:t>中标人同意赔偿损失范围其中包括采购人为此支出的律师费在内</w:t>
      </w:r>
      <w:r>
        <w:rPr>
          <w:rFonts w:ascii="宋体" w:hAnsi="宋体" w:eastAsia="宋体" w:cs="Calibri"/>
          <w:kern w:val="0"/>
          <w:sz w:val="24"/>
          <w:szCs w:val="24"/>
          <w:shd w:val="clear" w:color="auto" w:fill="FFFFFF"/>
        </w:rPr>
        <w:t>)</w:t>
      </w:r>
      <w:r>
        <w:rPr>
          <w:rFonts w:hint="eastAsia" w:ascii="宋体" w:hAnsi="宋体" w:eastAsia="宋体" w:cs="宋体"/>
          <w:kern w:val="0"/>
          <w:sz w:val="24"/>
          <w:szCs w:val="24"/>
          <w:shd w:val="clear" w:color="auto" w:fill="FFFFFF"/>
        </w:rPr>
        <w:t>。</w:t>
      </w:r>
    </w:p>
    <w:p w14:paraId="76C7142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10.2本招标文件未明确的其它约定事项或条款，待采购人与中标人签订合同时，由双方协商订立。</w:t>
      </w:r>
    </w:p>
    <w:p w14:paraId="720D3528">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10.3合同纠纷处理方式。因合同或与合同有关的一切事项发生争议，由中标人、采购人双方友好协商解决。如协商不成，双方同意将合同有关的争议向南平市仲裁委员会申请仲裁。</w:t>
      </w:r>
    </w:p>
    <w:p w14:paraId="3C303425">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四、其他事项</w:t>
      </w:r>
    </w:p>
    <w:p w14:paraId="4240643D">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除招标文件另有规定外，若出现有关法律、法规和规章有强制性规定但招标文件未列明的情形，则投标人应按照有关法律、法规和规章强制性规定执行。</w:t>
      </w:r>
    </w:p>
    <w:p w14:paraId="6CCA2997">
      <w:pPr>
        <w:spacing w:line="360" w:lineRule="auto"/>
        <w:ind w:firstLine="480" w:firstLineChars="200"/>
        <w:rPr>
          <w:rFonts w:ascii="宋体" w:hAnsi="宋体" w:eastAsia="宋体"/>
          <w:sz w:val="24"/>
          <w:szCs w:val="24"/>
        </w:rPr>
      </w:pPr>
    </w:p>
    <w:sectPr>
      <w:type w:val="continuous"/>
      <w:pgSz w:w="11900" w:h="16840"/>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3Font_13">
    <w:altName w:val="微软雅黑"/>
    <w:panose1 w:val="00000000000000000000"/>
    <w:charset w:val="86"/>
    <w:family w:val="swiss"/>
    <w:pitch w:val="default"/>
    <w:sig w:usb0="00000000" w:usb1="00000000" w:usb2="00000010" w:usb3="00000000" w:csb0="00040000" w:csb1="00000000"/>
  </w:font>
  <w:font w:name="T3Font_36">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2720"/>
    <w:rsid w:val="000000ED"/>
    <w:rsid w:val="000079BC"/>
    <w:rsid w:val="000079CB"/>
    <w:rsid w:val="00007B09"/>
    <w:rsid w:val="00025D24"/>
    <w:rsid w:val="00033A78"/>
    <w:rsid w:val="000342B1"/>
    <w:rsid w:val="00037CAF"/>
    <w:rsid w:val="00040F43"/>
    <w:rsid w:val="00042929"/>
    <w:rsid w:val="0004370F"/>
    <w:rsid w:val="00050EDF"/>
    <w:rsid w:val="00053119"/>
    <w:rsid w:val="00057A83"/>
    <w:rsid w:val="000629DE"/>
    <w:rsid w:val="00065D90"/>
    <w:rsid w:val="00072B19"/>
    <w:rsid w:val="00083FB3"/>
    <w:rsid w:val="00085198"/>
    <w:rsid w:val="0009135E"/>
    <w:rsid w:val="00096CA5"/>
    <w:rsid w:val="000A568C"/>
    <w:rsid w:val="000A6680"/>
    <w:rsid w:val="000B557B"/>
    <w:rsid w:val="000C1273"/>
    <w:rsid w:val="000C2520"/>
    <w:rsid w:val="000C2599"/>
    <w:rsid w:val="000C32AB"/>
    <w:rsid w:val="000C41F3"/>
    <w:rsid w:val="000D26C9"/>
    <w:rsid w:val="000D27AA"/>
    <w:rsid w:val="000D6308"/>
    <w:rsid w:val="000E3BDB"/>
    <w:rsid w:val="000F19E4"/>
    <w:rsid w:val="00104217"/>
    <w:rsid w:val="00104246"/>
    <w:rsid w:val="0010596C"/>
    <w:rsid w:val="0010684C"/>
    <w:rsid w:val="00107E71"/>
    <w:rsid w:val="00110F24"/>
    <w:rsid w:val="00117FE2"/>
    <w:rsid w:val="00120A2F"/>
    <w:rsid w:val="00120B0A"/>
    <w:rsid w:val="00121472"/>
    <w:rsid w:val="00127007"/>
    <w:rsid w:val="001274C1"/>
    <w:rsid w:val="00132219"/>
    <w:rsid w:val="001360EA"/>
    <w:rsid w:val="001408DC"/>
    <w:rsid w:val="00140B1D"/>
    <w:rsid w:val="00142558"/>
    <w:rsid w:val="001478F9"/>
    <w:rsid w:val="0015181A"/>
    <w:rsid w:val="00152923"/>
    <w:rsid w:val="00152D55"/>
    <w:rsid w:val="00155042"/>
    <w:rsid w:val="00157684"/>
    <w:rsid w:val="00166DD4"/>
    <w:rsid w:val="001702FB"/>
    <w:rsid w:val="0017035B"/>
    <w:rsid w:val="001725CC"/>
    <w:rsid w:val="0017270B"/>
    <w:rsid w:val="001753B4"/>
    <w:rsid w:val="00176455"/>
    <w:rsid w:val="00181202"/>
    <w:rsid w:val="001862C9"/>
    <w:rsid w:val="00190809"/>
    <w:rsid w:val="00191D90"/>
    <w:rsid w:val="00193785"/>
    <w:rsid w:val="00193A30"/>
    <w:rsid w:val="00193AA3"/>
    <w:rsid w:val="00193D0D"/>
    <w:rsid w:val="00194178"/>
    <w:rsid w:val="00196C97"/>
    <w:rsid w:val="001A1F4D"/>
    <w:rsid w:val="001A6CDE"/>
    <w:rsid w:val="001B49AC"/>
    <w:rsid w:val="001C4757"/>
    <w:rsid w:val="001C5815"/>
    <w:rsid w:val="001D6397"/>
    <w:rsid w:val="001E0798"/>
    <w:rsid w:val="001E6B12"/>
    <w:rsid w:val="001E7128"/>
    <w:rsid w:val="001F2656"/>
    <w:rsid w:val="0020019D"/>
    <w:rsid w:val="00205CD1"/>
    <w:rsid w:val="00207431"/>
    <w:rsid w:val="00210610"/>
    <w:rsid w:val="0021545C"/>
    <w:rsid w:val="00215F88"/>
    <w:rsid w:val="002263F5"/>
    <w:rsid w:val="00230775"/>
    <w:rsid w:val="00230C6B"/>
    <w:rsid w:val="00230F20"/>
    <w:rsid w:val="00231B7F"/>
    <w:rsid w:val="002325D3"/>
    <w:rsid w:val="00236AB7"/>
    <w:rsid w:val="002371B5"/>
    <w:rsid w:val="00237D58"/>
    <w:rsid w:val="00240F14"/>
    <w:rsid w:val="002413E3"/>
    <w:rsid w:val="00244AB9"/>
    <w:rsid w:val="002504C2"/>
    <w:rsid w:val="00253998"/>
    <w:rsid w:val="00253ADD"/>
    <w:rsid w:val="0026216A"/>
    <w:rsid w:val="00270E75"/>
    <w:rsid w:val="00272D99"/>
    <w:rsid w:val="00283301"/>
    <w:rsid w:val="00284C84"/>
    <w:rsid w:val="00293C14"/>
    <w:rsid w:val="00296D41"/>
    <w:rsid w:val="002A1591"/>
    <w:rsid w:val="002A2569"/>
    <w:rsid w:val="002A4CD2"/>
    <w:rsid w:val="002B4BFE"/>
    <w:rsid w:val="002B6FE5"/>
    <w:rsid w:val="002C083A"/>
    <w:rsid w:val="002C0DB7"/>
    <w:rsid w:val="002C1E07"/>
    <w:rsid w:val="002C331B"/>
    <w:rsid w:val="002C632A"/>
    <w:rsid w:val="002C6F67"/>
    <w:rsid w:val="002D0AE2"/>
    <w:rsid w:val="002D1819"/>
    <w:rsid w:val="002E1B59"/>
    <w:rsid w:val="002E1F05"/>
    <w:rsid w:val="002E735F"/>
    <w:rsid w:val="002F013D"/>
    <w:rsid w:val="00300B5B"/>
    <w:rsid w:val="00302ABE"/>
    <w:rsid w:val="00307470"/>
    <w:rsid w:val="00307F5F"/>
    <w:rsid w:val="00311A33"/>
    <w:rsid w:val="00315738"/>
    <w:rsid w:val="00316816"/>
    <w:rsid w:val="00326B8E"/>
    <w:rsid w:val="00326CB1"/>
    <w:rsid w:val="00326E74"/>
    <w:rsid w:val="003449C7"/>
    <w:rsid w:val="00345F8E"/>
    <w:rsid w:val="00351EC9"/>
    <w:rsid w:val="003534A7"/>
    <w:rsid w:val="0035350B"/>
    <w:rsid w:val="003562A8"/>
    <w:rsid w:val="00361DD7"/>
    <w:rsid w:val="00362687"/>
    <w:rsid w:val="00363B1C"/>
    <w:rsid w:val="00365999"/>
    <w:rsid w:val="003676A5"/>
    <w:rsid w:val="00367CDB"/>
    <w:rsid w:val="00370CA6"/>
    <w:rsid w:val="00370DB7"/>
    <w:rsid w:val="00371FE0"/>
    <w:rsid w:val="00380684"/>
    <w:rsid w:val="00383973"/>
    <w:rsid w:val="00392FE0"/>
    <w:rsid w:val="00394DCE"/>
    <w:rsid w:val="00395DD8"/>
    <w:rsid w:val="003A0858"/>
    <w:rsid w:val="003A41F0"/>
    <w:rsid w:val="003A5640"/>
    <w:rsid w:val="003A57AF"/>
    <w:rsid w:val="003A75E2"/>
    <w:rsid w:val="003B186F"/>
    <w:rsid w:val="003B40B7"/>
    <w:rsid w:val="003B529A"/>
    <w:rsid w:val="003B78DD"/>
    <w:rsid w:val="003C34A2"/>
    <w:rsid w:val="003C40DE"/>
    <w:rsid w:val="003C5276"/>
    <w:rsid w:val="003C58A0"/>
    <w:rsid w:val="003C7518"/>
    <w:rsid w:val="003D0E28"/>
    <w:rsid w:val="003D2391"/>
    <w:rsid w:val="003D629B"/>
    <w:rsid w:val="003E02DB"/>
    <w:rsid w:val="003E1E9C"/>
    <w:rsid w:val="003E597C"/>
    <w:rsid w:val="003F31F8"/>
    <w:rsid w:val="004024D2"/>
    <w:rsid w:val="00402A40"/>
    <w:rsid w:val="00404B58"/>
    <w:rsid w:val="00405637"/>
    <w:rsid w:val="004127D6"/>
    <w:rsid w:val="004142F9"/>
    <w:rsid w:val="00420077"/>
    <w:rsid w:val="00424BEB"/>
    <w:rsid w:val="00424D2F"/>
    <w:rsid w:val="00427EF6"/>
    <w:rsid w:val="00432602"/>
    <w:rsid w:val="004337A4"/>
    <w:rsid w:val="00451407"/>
    <w:rsid w:val="004542B1"/>
    <w:rsid w:val="0045482F"/>
    <w:rsid w:val="00456832"/>
    <w:rsid w:val="00457E28"/>
    <w:rsid w:val="00470357"/>
    <w:rsid w:val="00471103"/>
    <w:rsid w:val="0047544F"/>
    <w:rsid w:val="004774B6"/>
    <w:rsid w:val="004815B9"/>
    <w:rsid w:val="00485527"/>
    <w:rsid w:val="00487402"/>
    <w:rsid w:val="004A4F60"/>
    <w:rsid w:val="004B1279"/>
    <w:rsid w:val="004B2CD2"/>
    <w:rsid w:val="004B33A3"/>
    <w:rsid w:val="004B78A5"/>
    <w:rsid w:val="004C3002"/>
    <w:rsid w:val="004D2DCA"/>
    <w:rsid w:val="004D4D69"/>
    <w:rsid w:val="004D71D8"/>
    <w:rsid w:val="004E2D85"/>
    <w:rsid w:val="004E489A"/>
    <w:rsid w:val="004F3670"/>
    <w:rsid w:val="004F6A71"/>
    <w:rsid w:val="00506EF5"/>
    <w:rsid w:val="00517ADD"/>
    <w:rsid w:val="00517C9C"/>
    <w:rsid w:val="00526398"/>
    <w:rsid w:val="00533719"/>
    <w:rsid w:val="00534C21"/>
    <w:rsid w:val="00541B2C"/>
    <w:rsid w:val="00542380"/>
    <w:rsid w:val="0054390F"/>
    <w:rsid w:val="00543A87"/>
    <w:rsid w:val="00556E26"/>
    <w:rsid w:val="005571EC"/>
    <w:rsid w:val="00557476"/>
    <w:rsid w:val="00562FD9"/>
    <w:rsid w:val="00563283"/>
    <w:rsid w:val="00566D1B"/>
    <w:rsid w:val="00567F6B"/>
    <w:rsid w:val="0057076B"/>
    <w:rsid w:val="00573DE6"/>
    <w:rsid w:val="00593208"/>
    <w:rsid w:val="005935E5"/>
    <w:rsid w:val="0059481C"/>
    <w:rsid w:val="00596E6D"/>
    <w:rsid w:val="005A3291"/>
    <w:rsid w:val="005B1313"/>
    <w:rsid w:val="005B4552"/>
    <w:rsid w:val="005B56E4"/>
    <w:rsid w:val="005B6CAC"/>
    <w:rsid w:val="005C1E66"/>
    <w:rsid w:val="005C2AF9"/>
    <w:rsid w:val="005C2E85"/>
    <w:rsid w:val="005C4972"/>
    <w:rsid w:val="005C689B"/>
    <w:rsid w:val="005C7A1C"/>
    <w:rsid w:val="005D2109"/>
    <w:rsid w:val="005D7B47"/>
    <w:rsid w:val="005E18C5"/>
    <w:rsid w:val="005E6835"/>
    <w:rsid w:val="005F0A29"/>
    <w:rsid w:val="005F2FB1"/>
    <w:rsid w:val="005F4C2A"/>
    <w:rsid w:val="00605B0D"/>
    <w:rsid w:val="00606BFE"/>
    <w:rsid w:val="006123FA"/>
    <w:rsid w:val="00616210"/>
    <w:rsid w:val="00617B03"/>
    <w:rsid w:val="0062457C"/>
    <w:rsid w:val="00624AFB"/>
    <w:rsid w:val="0063255A"/>
    <w:rsid w:val="00636E3B"/>
    <w:rsid w:val="00644BC6"/>
    <w:rsid w:val="00645921"/>
    <w:rsid w:val="00645A53"/>
    <w:rsid w:val="00647CCB"/>
    <w:rsid w:val="0065093B"/>
    <w:rsid w:val="00651DDF"/>
    <w:rsid w:val="006565B6"/>
    <w:rsid w:val="00660B5E"/>
    <w:rsid w:val="006628B5"/>
    <w:rsid w:val="00666E06"/>
    <w:rsid w:val="00667C4C"/>
    <w:rsid w:val="00673F1A"/>
    <w:rsid w:val="0067757E"/>
    <w:rsid w:val="0068107A"/>
    <w:rsid w:val="00682720"/>
    <w:rsid w:val="0068395B"/>
    <w:rsid w:val="0068518E"/>
    <w:rsid w:val="00686714"/>
    <w:rsid w:val="00687111"/>
    <w:rsid w:val="00693042"/>
    <w:rsid w:val="0069556E"/>
    <w:rsid w:val="006A62B9"/>
    <w:rsid w:val="006A7442"/>
    <w:rsid w:val="006B28F1"/>
    <w:rsid w:val="006B40FD"/>
    <w:rsid w:val="006B4418"/>
    <w:rsid w:val="006B4A99"/>
    <w:rsid w:val="006B53A9"/>
    <w:rsid w:val="006C1B33"/>
    <w:rsid w:val="006D1083"/>
    <w:rsid w:val="006D1F79"/>
    <w:rsid w:val="006D2199"/>
    <w:rsid w:val="006D3826"/>
    <w:rsid w:val="006D4A2D"/>
    <w:rsid w:val="006D68C7"/>
    <w:rsid w:val="006D7A27"/>
    <w:rsid w:val="006E2182"/>
    <w:rsid w:val="006E34A0"/>
    <w:rsid w:val="006E4CBD"/>
    <w:rsid w:val="006E6BCC"/>
    <w:rsid w:val="006F09A4"/>
    <w:rsid w:val="006F6488"/>
    <w:rsid w:val="006F7BAA"/>
    <w:rsid w:val="0070055E"/>
    <w:rsid w:val="0070735B"/>
    <w:rsid w:val="0071090B"/>
    <w:rsid w:val="00716718"/>
    <w:rsid w:val="00716D2D"/>
    <w:rsid w:val="00720C94"/>
    <w:rsid w:val="007220D4"/>
    <w:rsid w:val="00725E92"/>
    <w:rsid w:val="00727152"/>
    <w:rsid w:val="00735F12"/>
    <w:rsid w:val="00741B01"/>
    <w:rsid w:val="007446E9"/>
    <w:rsid w:val="007500AF"/>
    <w:rsid w:val="0075293B"/>
    <w:rsid w:val="0075613B"/>
    <w:rsid w:val="00761D63"/>
    <w:rsid w:val="00761EC3"/>
    <w:rsid w:val="007621EC"/>
    <w:rsid w:val="00762438"/>
    <w:rsid w:val="00762DC3"/>
    <w:rsid w:val="0076323B"/>
    <w:rsid w:val="00766A85"/>
    <w:rsid w:val="007753D9"/>
    <w:rsid w:val="00775F99"/>
    <w:rsid w:val="007767FE"/>
    <w:rsid w:val="00776A3E"/>
    <w:rsid w:val="0077797C"/>
    <w:rsid w:val="00777D9A"/>
    <w:rsid w:val="00783F0B"/>
    <w:rsid w:val="00784C52"/>
    <w:rsid w:val="007910E6"/>
    <w:rsid w:val="007913E7"/>
    <w:rsid w:val="00794837"/>
    <w:rsid w:val="007951F1"/>
    <w:rsid w:val="00796FBB"/>
    <w:rsid w:val="007A25CC"/>
    <w:rsid w:val="007A382C"/>
    <w:rsid w:val="007A46FF"/>
    <w:rsid w:val="007B3550"/>
    <w:rsid w:val="007B4DEF"/>
    <w:rsid w:val="007B5A90"/>
    <w:rsid w:val="007B67F2"/>
    <w:rsid w:val="007B759C"/>
    <w:rsid w:val="007C55D6"/>
    <w:rsid w:val="007C5A10"/>
    <w:rsid w:val="007C5FBB"/>
    <w:rsid w:val="007C6474"/>
    <w:rsid w:val="007D20EE"/>
    <w:rsid w:val="007D3ADA"/>
    <w:rsid w:val="007D4405"/>
    <w:rsid w:val="007D484E"/>
    <w:rsid w:val="007D5656"/>
    <w:rsid w:val="007D5789"/>
    <w:rsid w:val="007D6766"/>
    <w:rsid w:val="007E0CFC"/>
    <w:rsid w:val="007E38AE"/>
    <w:rsid w:val="007E6FAA"/>
    <w:rsid w:val="007F24ED"/>
    <w:rsid w:val="007F2C53"/>
    <w:rsid w:val="008017DB"/>
    <w:rsid w:val="00802997"/>
    <w:rsid w:val="0080305D"/>
    <w:rsid w:val="00812932"/>
    <w:rsid w:val="00814D9F"/>
    <w:rsid w:val="00816028"/>
    <w:rsid w:val="00816EA6"/>
    <w:rsid w:val="00821768"/>
    <w:rsid w:val="0083064B"/>
    <w:rsid w:val="0083442C"/>
    <w:rsid w:val="00834B8A"/>
    <w:rsid w:val="00840001"/>
    <w:rsid w:val="00841720"/>
    <w:rsid w:val="00842C8C"/>
    <w:rsid w:val="00843D56"/>
    <w:rsid w:val="00843FE3"/>
    <w:rsid w:val="00847A02"/>
    <w:rsid w:val="00853666"/>
    <w:rsid w:val="00856A9B"/>
    <w:rsid w:val="00864816"/>
    <w:rsid w:val="00867D62"/>
    <w:rsid w:val="008706F8"/>
    <w:rsid w:val="00873E2D"/>
    <w:rsid w:val="0087554A"/>
    <w:rsid w:val="00880EEF"/>
    <w:rsid w:val="008844DC"/>
    <w:rsid w:val="00884556"/>
    <w:rsid w:val="008859D0"/>
    <w:rsid w:val="00890C9A"/>
    <w:rsid w:val="00892756"/>
    <w:rsid w:val="00894726"/>
    <w:rsid w:val="008A4B43"/>
    <w:rsid w:val="008A5350"/>
    <w:rsid w:val="008A7425"/>
    <w:rsid w:val="008B047E"/>
    <w:rsid w:val="008B1B81"/>
    <w:rsid w:val="008B2D59"/>
    <w:rsid w:val="008B38FF"/>
    <w:rsid w:val="008B7D94"/>
    <w:rsid w:val="008C1369"/>
    <w:rsid w:val="008C41A5"/>
    <w:rsid w:val="008C5C5B"/>
    <w:rsid w:val="008D00C6"/>
    <w:rsid w:val="008E148F"/>
    <w:rsid w:val="008E275F"/>
    <w:rsid w:val="008E522F"/>
    <w:rsid w:val="008E6068"/>
    <w:rsid w:val="008E7722"/>
    <w:rsid w:val="008F0777"/>
    <w:rsid w:val="008F12E4"/>
    <w:rsid w:val="008F4FB5"/>
    <w:rsid w:val="008F541A"/>
    <w:rsid w:val="0090370D"/>
    <w:rsid w:val="00903EFC"/>
    <w:rsid w:val="0090682D"/>
    <w:rsid w:val="00906DDD"/>
    <w:rsid w:val="009118D1"/>
    <w:rsid w:val="00915FE2"/>
    <w:rsid w:val="0092209B"/>
    <w:rsid w:val="00925A85"/>
    <w:rsid w:val="0093263A"/>
    <w:rsid w:val="009345CF"/>
    <w:rsid w:val="0093477B"/>
    <w:rsid w:val="00935EC8"/>
    <w:rsid w:val="0093623C"/>
    <w:rsid w:val="0094146B"/>
    <w:rsid w:val="00942F7A"/>
    <w:rsid w:val="009449D2"/>
    <w:rsid w:val="00945B24"/>
    <w:rsid w:val="009615E8"/>
    <w:rsid w:val="00973B56"/>
    <w:rsid w:val="0097407F"/>
    <w:rsid w:val="00975451"/>
    <w:rsid w:val="00991894"/>
    <w:rsid w:val="009943D3"/>
    <w:rsid w:val="009948B8"/>
    <w:rsid w:val="0099515E"/>
    <w:rsid w:val="00996251"/>
    <w:rsid w:val="00996AA6"/>
    <w:rsid w:val="009A1F32"/>
    <w:rsid w:val="009B0805"/>
    <w:rsid w:val="009B1DB6"/>
    <w:rsid w:val="009C38B5"/>
    <w:rsid w:val="009C670B"/>
    <w:rsid w:val="009D6FF3"/>
    <w:rsid w:val="009D7C95"/>
    <w:rsid w:val="009D7F11"/>
    <w:rsid w:val="009E1EB6"/>
    <w:rsid w:val="009E678A"/>
    <w:rsid w:val="009F15B3"/>
    <w:rsid w:val="009F2A48"/>
    <w:rsid w:val="009F2AB9"/>
    <w:rsid w:val="009F3BB3"/>
    <w:rsid w:val="009F43A5"/>
    <w:rsid w:val="009F7B3D"/>
    <w:rsid w:val="00A040ED"/>
    <w:rsid w:val="00A071D4"/>
    <w:rsid w:val="00A1277C"/>
    <w:rsid w:val="00A170C8"/>
    <w:rsid w:val="00A17EE8"/>
    <w:rsid w:val="00A2033E"/>
    <w:rsid w:val="00A209D6"/>
    <w:rsid w:val="00A2730D"/>
    <w:rsid w:val="00A329D9"/>
    <w:rsid w:val="00A33375"/>
    <w:rsid w:val="00A37AF5"/>
    <w:rsid w:val="00A37C96"/>
    <w:rsid w:val="00A446BB"/>
    <w:rsid w:val="00A45297"/>
    <w:rsid w:val="00A4640D"/>
    <w:rsid w:val="00A47042"/>
    <w:rsid w:val="00A54E5F"/>
    <w:rsid w:val="00A61ABF"/>
    <w:rsid w:val="00A671F5"/>
    <w:rsid w:val="00A71B24"/>
    <w:rsid w:val="00A8036C"/>
    <w:rsid w:val="00A812D8"/>
    <w:rsid w:val="00A846A2"/>
    <w:rsid w:val="00A92171"/>
    <w:rsid w:val="00A9469F"/>
    <w:rsid w:val="00AA0585"/>
    <w:rsid w:val="00AA3267"/>
    <w:rsid w:val="00AB0D2D"/>
    <w:rsid w:val="00AC2539"/>
    <w:rsid w:val="00AC2DD1"/>
    <w:rsid w:val="00AC3EBC"/>
    <w:rsid w:val="00AC442F"/>
    <w:rsid w:val="00AD0740"/>
    <w:rsid w:val="00AD0C3F"/>
    <w:rsid w:val="00AD1458"/>
    <w:rsid w:val="00AD318D"/>
    <w:rsid w:val="00AD5C5C"/>
    <w:rsid w:val="00AE1A7B"/>
    <w:rsid w:val="00AE4723"/>
    <w:rsid w:val="00AE7F69"/>
    <w:rsid w:val="00AF1E78"/>
    <w:rsid w:val="00AF4D37"/>
    <w:rsid w:val="00B01297"/>
    <w:rsid w:val="00B033AD"/>
    <w:rsid w:val="00B04E31"/>
    <w:rsid w:val="00B051D6"/>
    <w:rsid w:val="00B12F6D"/>
    <w:rsid w:val="00B1500A"/>
    <w:rsid w:val="00B15607"/>
    <w:rsid w:val="00B22282"/>
    <w:rsid w:val="00B23B60"/>
    <w:rsid w:val="00B31C4E"/>
    <w:rsid w:val="00B333A0"/>
    <w:rsid w:val="00B36EBF"/>
    <w:rsid w:val="00B41A9A"/>
    <w:rsid w:val="00B41C1B"/>
    <w:rsid w:val="00B44915"/>
    <w:rsid w:val="00B47477"/>
    <w:rsid w:val="00B56223"/>
    <w:rsid w:val="00B6248C"/>
    <w:rsid w:val="00B64918"/>
    <w:rsid w:val="00B705D0"/>
    <w:rsid w:val="00B744D5"/>
    <w:rsid w:val="00B81AA4"/>
    <w:rsid w:val="00B87DCF"/>
    <w:rsid w:val="00B91F27"/>
    <w:rsid w:val="00B93BDE"/>
    <w:rsid w:val="00B944EB"/>
    <w:rsid w:val="00B96A95"/>
    <w:rsid w:val="00B97184"/>
    <w:rsid w:val="00BA4405"/>
    <w:rsid w:val="00BB0F6B"/>
    <w:rsid w:val="00BB2841"/>
    <w:rsid w:val="00BB2C10"/>
    <w:rsid w:val="00BB2FA1"/>
    <w:rsid w:val="00BB59C2"/>
    <w:rsid w:val="00BD399D"/>
    <w:rsid w:val="00BD3A58"/>
    <w:rsid w:val="00BE012F"/>
    <w:rsid w:val="00BE5332"/>
    <w:rsid w:val="00BE755A"/>
    <w:rsid w:val="00BF7F94"/>
    <w:rsid w:val="00C01F6A"/>
    <w:rsid w:val="00C079AA"/>
    <w:rsid w:val="00C11764"/>
    <w:rsid w:val="00C121E1"/>
    <w:rsid w:val="00C13842"/>
    <w:rsid w:val="00C13A19"/>
    <w:rsid w:val="00C2209C"/>
    <w:rsid w:val="00C2764A"/>
    <w:rsid w:val="00C31262"/>
    <w:rsid w:val="00C3642B"/>
    <w:rsid w:val="00C367C0"/>
    <w:rsid w:val="00C466C9"/>
    <w:rsid w:val="00C47811"/>
    <w:rsid w:val="00C50152"/>
    <w:rsid w:val="00C50223"/>
    <w:rsid w:val="00C56496"/>
    <w:rsid w:val="00C63723"/>
    <w:rsid w:val="00C675F0"/>
    <w:rsid w:val="00C72277"/>
    <w:rsid w:val="00C726C3"/>
    <w:rsid w:val="00C73942"/>
    <w:rsid w:val="00C7481E"/>
    <w:rsid w:val="00C74920"/>
    <w:rsid w:val="00C77BDA"/>
    <w:rsid w:val="00C77C27"/>
    <w:rsid w:val="00C839CE"/>
    <w:rsid w:val="00C83DCD"/>
    <w:rsid w:val="00C861CB"/>
    <w:rsid w:val="00C863EF"/>
    <w:rsid w:val="00C96B35"/>
    <w:rsid w:val="00C96C5D"/>
    <w:rsid w:val="00CA70E7"/>
    <w:rsid w:val="00CB0EF3"/>
    <w:rsid w:val="00CB6C2D"/>
    <w:rsid w:val="00CC0EB7"/>
    <w:rsid w:val="00CC12DF"/>
    <w:rsid w:val="00CC77C0"/>
    <w:rsid w:val="00CD0E77"/>
    <w:rsid w:val="00CD22E3"/>
    <w:rsid w:val="00CD6400"/>
    <w:rsid w:val="00CD7C82"/>
    <w:rsid w:val="00CE0D46"/>
    <w:rsid w:val="00CE2708"/>
    <w:rsid w:val="00CE4CBD"/>
    <w:rsid w:val="00CE710D"/>
    <w:rsid w:val="00CF42CB"/>
    <w:rsid w:val="00CF439A"/>
    <w:rsid w:val="00CF4AD1"/>
    <w:rsid w:val="00D0051F"/>
    <w:rsid w:val="00D01DF4"/>
    <w:rsid w:val="00D03431"/>
    <w:rsid w:val="00D07499"/>
    <w:rsid w:val="00D10D62"/>
    <w:rsid w:val="00D10DFF"/>
    <w:rsid w:val="00D11AEF"/>
    <w:rsid w:val="00D15814"/>
    <w:rsid w:val="00D211E2"/>
    <w:rsid w:val="00D22542"/>
    <w:rsid w:val="00D25F64"/>
    <w:rsid w:val="00D36FC8"/>
    <w:rsid w:val="00D4155A"/>
    <w:rsid w:val="00D4396D"/>
    <w:rsid w:val="00D451E7"/>
    <w:rsid w:val="00D45A01"/>
    <w:rsid w:val="00D5239B"/>
    <w:rsid w:val="00D52898"/>
    <w:rsid w:val="00D538C9"/>
    <w:rsid w:val="00D5403B"/>
    <w:rsid w:val="00D62C4B"/>
    <w:rsid w:val="00D654BB"/>
    <w:rsid w:val="00D73EE0"/>
    <w:rsid w:val="00D75EA1"/>
    <w:rsid w:val="00D821DA"/>
    <w:rsid w:val="00D912AE"/>
    <w:rsid w:val="00DA19AE"/>
    <w:rsid w:val="00DA21D5"/>
    <w:rsid w:val="00DA2D67"/>
    <w:rsid w:val="00DA3010"/>
    <w:rsid w:val="00DA6837"/>
    <w:rsid w:val="00DA740C"/>
    <w:rsid w:val="00DB2D3A"/>
    <w:rsid w:val="00DB3C33"/>
    <w:rsid w:val="00DC0342"/>
    <w:rsid w:val="00DC3F19"/>
    <w:rsid w:val="00DC416B"/>
    <w:rsid w:val="00DC62E5"/>
    <w:rsid w:val="00DD25E0"/>
    <w:rsid w:val="00DE50BA"/>
    <w:rsid w:val="00DE67E9"/>
    <w:rsid w:val="00DE7FF5"/>
    <w:rsid w:val="00DF77AD"/>
    <w:rsid w:val="00DF7F60"/>
    <w:rsid w:val="00E06E2D"/>
    <w:rsid w:val="00E1132B"/>
    <w:rsid w:val="00E11F14"/>
    <w:rsid w:val="00E16AFC"/>
    <w:rsid w:val="00E222C9"/>
    <w:rsid w:val="00E230E9"/>
    <w:rsid w:val="00E24E74"/>
    <w:rsid w:val="00E3267A"/>
    <w:rsid w:val="00E3514E"/>
    <w:rsid w:val="00E4225D"/>
    <w:rsid w:val="00E44890"/>
    <w:rsid w:val="00E44AFE"/>
    <w:rsid w:val="00E555F5"/>
    <w:rsid w:val="00E56878"/>
    <w:rsid w:val="00E61C84"/>
    <w:rsid w:val="00E65B87"/>
    <w:rsid w:val="00E6785E"/>
    <w:rsid w:val="00E70F77"/>
    <w:rsid w:val="00E7107C"/>
    <w:rsid w:val="00E72C5D"/>
    <w:rsid w:val="00E74A0B"/>
    <w:rsid w:val="00E76D32"/>
    <w:rsid w:val="00E80C2F"/>
    <w:rsid w:val="00E84208"/>
    <w:rsid w:val="00E8585A"/>
    <w:rsid w:val="00E85FF2"/>
    <w:rsid w:val="00E8737D"/>
    <w:rsid w:val="00E94145"/>
    <w:rsid w:val="00E95CFE"/>
    <w:rsid w:val="00EA131D"/>
    <w:rsid w:val="00EA1A6B"/>
    <w:rsid w:val="00EA32AD"/>
    <w:rsid w:val="00EB112F"/>
    <w:rsid w:val="00EB2A4F"/>
    <w:rsid w:val="00EB4949"/>
    <w:rsid w:val="00EB75FE"/>
    <w:rsid w:val="00EC0B58"/>
    <w:rsid w:val="00EC39D4"/>
    <w:rsid w:val="00EC4BF5"/>
    <w:rsid w:val="00EC4C90"/>
    <w:rsid w:val="00EC522D"/>
    <w:rsid w:val="00EC669A"/>
    <w:rsid w:val="00EC71FA"/>
    <w:rsid w:val="00EC7712"/>
    <w:rsid w:val="00ED0E08"/>
    <w:rsid w:val="00ED4CA2"/>
    <w:rsid w:val="00ED6FE6"/>
    <w:rsid w:val="00ED7AFD"/>
    <w:rsid w:val="00EE06A7"/>
    <w:rsid w:val="00EE4BA1"/>
    <w:rsid w:val="00F034EF"/>
    <w:rsid w:val="00F05D29"/>
    <w:rsid w:val="00F204A2"/>
    <w:rsid w:val="00F3004D"/>
    <w:rsid w:val="00F30DF4"/>
    <w:rsid w:val="00F32247"/>
    <w:rsid w:val="00F34FB5"/>
    <w:rsid w:val="00F60E5E"/>
    <w:rsid w:val="00F6524D"/>
    <w:rsid w:val="00F73280"/>
    <w:rsid w:val="00F7515C"/>
    <w:rsid w:val="00F81644"/>
    <w:rsid w:val="00F843D2"/>
    <w:rsid w:val="00F86909"/>
    <w:rsid w:val="00F913DA"/>
    <w:rsid w:val="00F9280B"/>
    <w:rsid w:val="00F92A0B"/>
    <w:rsid w:val="00F9507B"/>
    <w:rsid w:val="00F95CB9"/>
    <w:rsid w:val="00FA584F"/>
    <w:rsid w:val="00FA682C"/>
    <w:rsid w:val="00FA6BD4"/>
    <w:rsid w:val="00FA7BFD"/>
    <w:rsid w:val="00FC2CA4"/>
    <w:rsid w:val="00FD441B"/>
    <w:rsid w:val="00FD768B"/>
    <w:rsid w:val="00FE0B31"/>
    <w:rsid w:val="00FE2514"/>
    <w:rsid w:val="00FE3282"/>
    <w:rsid w:val="00FE59CE"/>
    <w:rsid w:val="00FF2BC0"/>
    <w:rsid w:val="5C0B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3128</Words>
  <Characters>3369</Characters>
  <Lines>25</Lines>
  <Paragraphs>7</Paragraphs>
  <TotalTime>6</TotalTime>
  <ScaleCrop>false</ScaleCrop>
  <LinksUpToDate>false</LinksUpToDate>
  <CharactersWithSpaces>3380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2025-06-16T04:59:00Z</dcterms:created>
  <dc:creator>尚飞</dc:creator>
  <cp:lastModifiedBy>Administrator</cp:lastModifiedBy>
  <dcterms:modified xsi:type="dcterms:W3CDTF">2025-08-21T07:22:24Z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eyJoZGlkIjoiY2I3YjZmZGQ4NWQwZGE4ZDU2NDIzMjRjN2Y4YTlmYWEifQ==</vt:lpwstr>
  </property>
  <property fmtid="{D5CDD505-2E9C-101B-9397-08002B2CF9AE}" pid="3" name="KSOProductBuildVer">
    <vt:lpwstr>2052-12.1.0.21915</vt:lpwstr>
  </property>
  <property fmtid="{D5CDD505-2E9C-101B-9397-08002B2CF9AE}" pid="4" name="ICV">
    <vt:lpwstr>D44464CB33E143E697F9F8BE7366D3DE_12</vt:lpwstr>
  </property>
</Properties>
</file>