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6A441">
      <w:pPr>
        <w:pStyle w:val="5"/>
        <w:wordWrap w:val="0"/>
        <w:spacing w:beforeAutospacing="0" w:afterAutospacing="0" w:line="360" w:lineRule="auto"/>
        <w:jc w:val="left"/>
        <w:outlineLvl w:val="0"/>
        <w:rPr>
          <w:rStyle w:val="8"/>
          <w:rFonts w:hint="eastAsia" w:ascii="黑体" w:hAnsi="黑体" w:eastAsia="黑体" w:cs="黑体"/>
          <w:b w:val="0"/>
          <w:bCs/>
          <w:sz w:val="32"/>
          <w:szCs w:val="32"/>
          <w:lang w:val="en-US" w:eastAsia="zh-CN"/>
        </w:rPr>
      </w:pPr>
      <w:r>
        <w:rPr>
          <w:rStyle w:val="8"/>
          <w:rFonts w:hint="eastAsia" w:ascii="黑体" w:hAnsi="黑体" w:eastAsia="黑体" w:cs="黑体"/>
          <w:b w:val="0"/>
          <w:bCs/>
          <w:sz w:val="32"/>
          <w:szCs w:val="32"/>
          <w:lang w:val="en-US" w:eastAsia="zh-CN"/>
        </w:rPr>
        <w:t>附件2</w:t>
      </w:r>
      <w:bookmarkStart w:id="0" w:name="_GoBack"/>
      <w:bookmarkEnd w:id="0"/>
    </w:p>
    <w:p w14:paraId="5987DB69">
      <w:pPr>
        <w:pStyle w:val="5"/>
        <w:wordWrap w:val="0"/>
        <w:spacing w:beforeAutospacing="0" w:afterAutospacing="0" w:line="360" w:lineRule="auto"/>
        <w:jc w:val="center"/>
        <w:outlineLvl w:val="0"/>
        <w:rPr>
          <w:rFonts w:hint="eastAsia" w:ascii="方正小标宋简体" w:hAnsi="方正小标宋简体" w:eastAsia="方正小标宋简体" w:cs="方正小标宋简体"/>
          <w:b/>
          <w:bCs w:val="0"/>
          <w:sz w:val="44"/>
          <w:szCs w:val="44"/>
        </w:rPr>
      </w:pPr>
      <w:r>
        <w:rPr>
          <w:rStyle w:val="8"/>
          <w:rFonts w:hint="eastAsia" w:ascii="方正小标宋简体" w:hAnsi="方正小标宋简体" w:eastAsia="方正小标宋简体" w:cs="方正小标宋简体"/>
          <w:b/>
          <w:bCs w:val="0"/>
          <w:sz w:val="44"/>
          <w:szCs w:val="44"/>
        </w:rPr>
        <w:t>采购内容及要求</w:t>
      </w:r>
    </w:p>
    <w:p w14:paraId="79A5CCE6">
      <w:pPr>
        <w:pStyle w:val="5"/>
        <w:wordWrap w:val="0"/>
        <w:spacing w:beforeAutospacing="0" w:afterAutospacing="0" w:line="360" w:lineRule="auto"/>
        <w:rPr>
          <w:rFonts w:ascii="sans-serif" w:hAnsi="sans-serif" w:eastAsia="sans-serif" w:cs="sans-serif"/>
        </w:rPr>
      </w:pPr>
    </w:p>
    <w:p w14:paraId="3D476DE0">
      <w:pPr>
        <w:pStyle w:val="5"/>
        <w:wordWrap w:val="0"/>
        <w:spacing w:beforeAutospacing="0" w:afterAutospacing="0" w:line="360" w:lineRule="auto"/>
        <w:outlineLvl w:val="1"/>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项目概况</w:t>
      </w:r>
    </w:p>
    <w:p w14:paraId="0CEB2F0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仿宋_GB2312" w:hAnsi="宋体" w:eastAsia="仿宋_GB2312"/>
          <w:sz w:val="32"/>
          <w:lang w:eastAsia="zh-CN"/>
        </w:rPr>
      </w:pPr>
      <w:r>
        <w:rPr>
          <w:rFonts w:hint="eastAsia" w:ascii="仿宋_GB2312" w:hAnsi="宋体" w:eastAsia="仿宋_GB2312"/>
          <w:sz w:val="32"/>
          <w:lang w:eastAsia="zh-CN"/>
        </w:rPr>
        <w:t>为加强无线电监测技术设施管理，提高无线电监测技术设施运行的安全性、可靠性和稳定性，促进无线电监测设施运行维护工作规范化，保障无线电管理工作的顺利开展。根据省级无线电监测设施运行维护规定，结合工作实际，</w:t>
      </w:r>
      <w:r>
        <w:rPr>
          <w:rFonts w:hint="eastAsia" w:ascii="仿宋_GB2312" w:hAnsi="宋体" w:eastAsia="仿宋_GB2312"/>
          <w:sz w:val="32"/>
        </w:rPr>
        <w:t>三明市无线电管理局</w:t>
      </w:r>
      <w:r>
        <w:rPr>
          <w:rFonts w:hint="eastAsia" w:ascii="仿宋_GB2312" w:hAnsi="宋体" w:eastAsia="仿宋_GB2312"/>
          <w:sz w:val="32"/>
          <w:lang w:eastAsia="zh-CN"/>
        </w:rPr>
        <w:t>拟将</w:t>
      </w:r>
      <w:r>
        <w:rPr>
          <w:rFonts w:hint="eastAsia" w:ascii="仿宋_GB2312" w:hAnsi="宋体" w:eastAsia="仿宋_GB2312"/>
          <w:sz w:val="32"/>
          <w:lang w:val="en-US" w:eastAsia="zh-CN"/>
        </w:rPr>
        <w:t>23个固定监测站（小型站）</w:t>
      </w:r>
      <w:r>
        <w:rPr>
          <w:rFonts w:hint="eastAsia" w:ascii="仿宋_GB2312" w:hAnsi="宋体" w:eastAsia="仿宋_GB2312"/>
          <w:sz w:val="32"/>
        </w:rPr>
        <w:t>（站点详见“</w:t>
      </w:r>
      <w:r>
        <w:rPr>
          <w:rFonts w:hint="eastAsia" w:ascii="仿宋_GB2312" w:hAnsi="宋体" w:eastAsia="仿宋_GB2312"/>
          <w:sz w:val="32"/>
          <w:lang w:eastAsia="zh-CN"/>
        </w:rPr>
        <w:t>附件一：运维服务监测</w:t>
      </w:r>
      <w:r>
        <w:rPr>
          <w:rFonts w:hint="eastAsia" w:ascii="仿宋_GB2312" w:hAnsi="宋体" w:eastAsia="仿宋_GB2312"/>
          <w:sz w:val="32"/>
        </w:rPr>
        <w:t>站点</w:t>
      </w:r>
      <w:r>
        <w:rPr>
          <w:rFonts w:hint="eastAsia" w:ascii="仿宋_GB2312" w:hAnsi="宋体" w:eastAsia="仿宋_GB2312"/>
          <w:sz w:val="32"/>
          <w:lang w:eastAsia="zh-CN"/>
        </w:rPr>
        <w:t>（设施）</w:t>
      </w:r>
      <w:r>
        <w:rPr>
          <w:rFonts w:hint="eastAsia" w:ascii="仿宋_GB2312" w:hAnsi="宋体" w:eastAsia="仿宋_GB2312"/>
          <w:sz w:val="32"/>
        </w:rPr>
        <w:t>信息表”）</w:t>
      </w:r>
      <w:r>
        <w:rPr>
          <w:rFonts w:hint="eastAsia" w:ascii="仿宋_GB2312" w:hAnsi="宋体" w:eastAsia="仿宋_GB2312"/>
          <w:sz w:val="32"/>
          <w:lang w:val="en-US" w:eastAsia="zh-CN"/>
        </w:rPr>
        <w:t>、便携式监测设备、</w:t>
      </w:r>
      <w:r>
        <w:rPr>
          <w:rFonts w:hint="eastAsia" w:ascii="仿宋_GB2312" w:hAnsi="宋体" w:eastAsia="仿宋_GB2312"/>
          <w:sz w:val="32"/>
        </w:rPr>
        <w:t>监测控制中心</w:t>
      </w:r>
      <w:r>
        <w:rPr>
          <w:rFonts w:hint="eastAsia" w:ascii="仿宋_GB2312" w:hAnsi="宋体" w:eastAsia="仿宋_GB2312"/>
          <w:sz w:val="32"/>
          <w:lang w:eastAsia="zh-CN"/>
        </w:rPr>
        <w:t>、</w:t>
      </w:r>
      <w:r>
        <w:rPr>
          <w:rFonts w:hint="eastAsia" w:ascii="仿宋_GB2312" w:hAnsi="宋体" w:eastAsia="仿宋_GB2312"/>
          <w:sz w:val="32"/>
          <w:lang w:val="en-US" w:eastAsia="zh-CN"/>
        </w:rPr>
        <w:t>移动监测站以</w:t>
      </w:r>
      <w:r>
        <w:rPr>
          <w:rFonts w:hint="eastAsia" w:ascii="仿宋_GB2312" w:hAnsi="宋体" w:eastAsia="仿宋_GB2312"/>
          <w:sz w:val="32"/>
          <w:lang w:eastAsia="zh-CN"/>
        </w:rPr>
        <w:t>及</w:t>
      </w:r>
      <w:r>
        <w:rPr>
          <w:rFonts w:hint="eastAsia" w:ascii="仿宋_GB2312" w:hAnsi="宋体" w:eastAsia="仿宋_GB2312"/>
          <w:sz w:val="32"/>
        </w:rPr>
        <w:t>网络机房</w:t>
      </w:r>
      <w:r>
        <w:rPr>
          <w:rFonts w:hint="eastAsia" w:ascii="仿宋_GB2312" w:hAnsi="宋体" w:eastAsia="仿宋_GB2312"/>
          <w:sz w:val="32"/>
          <w:lang w:eastAsia="zh-CN"/>
        </w:rPr>
        <w:t>等无线电监测技术设施向社会购买运维服务</w:t>
      </w:r>
      <w:r>
        <w:rPr>
          <w:rFonts w:hint="eastAsia" w:ascii="仿宋_GB2312" w:hAnsi="宋体" w:eastAsia="仿宋_GB2312"/>
          <w:sz w:val="32"/>
        </w:rPr>
        <w:t>。</w:t>
      </w:r>
      <w:r>
        <w:rPr>
          <w:rFonts w:hint="eastAsia" w:ascii="仿宋_GB2312" w:hAnsi="宋体" w:eastAsia="仿宋_GB2312"/>
          <w:sz w:val="32"/>
          <w:lang w:eastAsia="zh-CN"/>
        </w:rPr>
        <w:t>主要包括日常检查、定期巡检、应急维护（如遇自然灾害等突发事件）、重大活动保障运维和故障处理等，确保各项技术设施有效管理和平稳运行。</w:t>
      </w:r>
    </w:p>
    <w:p w14:paraId="26CB2A77">
      <w:pPr>
        <w:pStyle w:val="5"/>
        <w:numPr>
          <w:ilvl w:val="0"/>
          <w:numId w:val="1"/>
        </w:numPr>
        <w:wordWrap w:val="0"/>
        <w:spacing w:beforeAutospacing="0" w:afterAutospacing="0" w:line="360" w:lineRule="auto"/>
        <w:outlineLvl w:val="1"/>
        <w:rPr>
          <w:rFonts w:hint="eastAsia" w:ascii="黑体" w:hAnsi="黑体" w:eastAsia="黑体" w:cs="黑体"/>
          <w:sz w:val="32"/>
          <w:szCs w:val="32"/>
        </w:rPr>
      </w:pPr>
      <w:r>
        <w:rPr>
          <w:rFonts w:hint="eastAsia" w:ascii="黑体" w:hAnsi="黑体" w:eastAsia="黑体" w:cs="黑体"/>
          <w:sz w:val="32"/>
          <w:szCs w:val="32"/>
        </w:rPr>
        <w:t>技术要求</w:t>
      </w:r>
    </w:p>
    <w:p w14:paraId="37CFFFA5">
      <w:pPr>
        <w:pStyle w:val="5"/>
        <w:numPr>
          <w:ilvl w:val="0"/>
          <w:numId w:val="0"/>
        </w:numPr>
        <w:wordWrap w:val="0"/>
        <w:spacing w:beforeAutospacing="0" w:afterAutospacing="0" w:line="360" w:lineRule="auto"/>
        <w:ind w:firstLine="321" w:firstLineChars="100"/>
        <w:outlineLvl w:val="1"/>
        <w:rPr>
          <w:rFonts w:hint="eastAsia" w:ascii="楷体" w:hAnsi="楷体" w:eastAsia="楷体" w:cs="楷体"/>
          <w:sz w:val="32"/>
          <w:szCs w:val="32"/>
        </w:rPr>
      </w:pPr>
      <w:r>
        <w:rPr>
          <w:rStyle w:val="8"/>
          <w:rFonts w:hint="eastAsia" w:ascii="楷体" w:hAnsi="楷体" w:eastAsia="楷体" w:cs="楷体"/>
          <w:sz w:val="32"/>
          <w:szCs w:val="32"/>
        </w:rPr>
        <w:t>（一）维护服务目标</w:t>
      </w:r>
    </w:p>
    <w:p w14:paraId="63829B31">
      <w:pPr>
        <w:pStyle w:val="5"/>
        <w:wordWrap w:val="0"/>
        <w:spacing w:beforeAutospacing="0" w:afterAutospacing="0" w:line="360" w:lineRule="auto"/>
        <w:ind w:firstLine="480"/>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本项目运维服务期（1年）内成交人应负责无线电技术设施的日常检查、定期巡检、维修和应急处置等工作，保障现有设备、设施的正常运转，并达到如下要求：</w:t>
      </w:r>
    </w:p>
    <w:p w14:paraId="41A99167">
      <w:pPr>
        <w:pStyle w:val="5"/>
        <w:wordWrap w:val="0"/>
        <w:spacing w:beforeAutospacing="0" w:afterAutospacing="0" w:line="360" w:lineRule="auto"/>
        <w:ind w:firstLine="480"/>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1.对无线电技术设施进行测试和检查，确保功能运行正常；</w:t>
      </w:r>
    </w:p>
    <w:p w14:paraId="4028FBE0">
      <w:pPr>
        <w:pStyle w:val="5"/>
        <w:wordWrap w:val="0"/>
        <w:spacing w:beforeAutospacing="0" w:afterAutospacing="0" w:line="360" w:lineRule="auto"/>
        <w:ind w:firstLine="480"/>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2.为日常无线电监测和重大无线电安全保障提供有力的技术支持；</w:t>
      </w:r>
    </w:p>
    <w:p w14:paraId="70A81B4E">
      <w:pPr>
        <w:pStyle w:val="5"/>
        <w:wordWrap w:val="0"/>
        <w:spacing w:beforeAutospacing="0" w:afterAutospacing="0" w:line="360" w:lineRule="auto"/>
        <w:ind w:firstLine="480"/>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3.对无线电固定监测站的铁塔（抱杆）做好日常维护保养；</w:t>
      </w:r>
    </w:p>
    <w:p w14:paraId="382A45F2">
      <w:pPr>
        <w:pStyle w:val="5"/>
        <w:wordWrap w:val="0"/>
        <w:spacing w:beforeAutospacing="0" w:afterAutospacing="0" w:line="360" w:lineRule="auto"/>
        <w:ind w:firstLine="480"/>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4.提供可靠的设备维修（送修）保障服务；</w:t>
      </w:r>
    </w:p>
    <w:p w14:paraId="3346BA53">
      <w:pPr>
        <w:pStyle w:val="5"/>
        <w:wordWrap w:val="0"/>
        <w:spacing w:beforeAutospacing="0" w:afterAutospacing="0" w:line="360" w:lineRule="auto"/>
        <w:ind w:firstLine="480"/>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5.建立包含设施运行状况、技术指标、巡检记录、维护维修情况等运维档案；</w:t>
      </w:r>
    </w:p>
    <w:p w14:paraId="67B4D563">
      <w:pPr>
        <w:pStyle w:val="5"/>
        <w:wordWrap w:val="0"/>
        <w:spacing w:beforeAutospacing="0" w:afterAutospacing="0" w:line="360" w:lineRule="auto"/>
        <w:ind w:firstLine="480"/>
        <w:rPr>
          <w:rFonts w:hint="eastAsia" w:ascii="楷体" w:hAnsi="楷体" w:eastAsia="楷体" w:cs="楷体"/>
          <w:b/>
          <w:bCs/>
          <w:sz w:val="32"/>
          <w:lang w:eastAsia="zh-CN"/>
        </w:rPr>
      </w:pPr>
      <w:r>
        <w:rPr>
          <w:rFonts w:hint="eastAsia" w:ascii="仿宋_GB2312" w:hAnsi="宋体" w:eastAsia="仿宋_GB2312" w:cstheme="minorBidi"/>
          <w:kern w:val="2"/>
          <w:sz w:val="32"/>
          <w:szCs w:val="24"/>
          <w:lang w:val="en-US" w:eastAsia="zh-CN" w:bidi="ar-SA"/>
        </w:rPr>
        <w:t xml:space="preserve">6.做好有关工作记录和报告编制、文案管理，妥善处理应急突发事件，确保无线电技术设施工作正常，运行稳定。  </w:t>
      </w:r>
      <w:r>
        <w:rPr>
          <w:rFonts w:hint="eastAsia" w:ascii="楷体" w:hAnsi="楷体" w:eastAsia="楷体" w:cs="楷体"/>
          <w:b/>
          <w:bCs/>
          <w:sz w:val="32"/>
          <w:lang w:eastAsia="zh-CN"/>
        </w:rPr>
        <w:t>（二）运行维护规范</w:t>
      </w:r>
    </w:p>
    <w:p w14:paraId="03B650C4">
      <w:pPr>
        <w:pStyle w:val="5"/>
        <w:wordWrap w:val="0"/>
        <w:spacing w:beforeAutospacing="0" w:afterAutospacing="0" w:line="360" w:lineRule="auto"/>
        <w:ind w:firstLine="480"/>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1.《福建省无线电管理技术设施运行维护工作指南（试行）》</w:t>
      </w:r>
    </w:p>
    <w:p w14:paraId="3C6F59BB">
      <w:pPr>
        <w:pStyle w:val="5"/>
        <w:wordWrap w:val="0"/>
        <w:spacing w:beforeAutospacing="0" w:afterAutospacing="0" w:line="360" w:lineRule="auto"/>
        <w:ind w:firstLine="480"/>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2.GB/T 34082-2017《无线电监测网传输协议》</w:t>
      </w:r>
    </w:p>
    <w:p w14:paraId="1FA13D14">
      <w:pPr>
        <w:pStyle w:val="5"/>
        <w:wordWrap w:val="0"/>
        <w:spacing w:beforeAutospacing="0" w:afterAutospacing="0" w:line="360" w:lineRule="auto"/>
        <w:ind w:firstLine="480"/>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3.YD/T2675-2013《VHF/UHF无线电监测测向系统开场测试参数和测试方法》</w:t>
      </w:r>
    </w:p>
    <w:p w14:paraId="453C13E5">
      <w:pPr>
        <w:pStyle w:val="5"/>
        <w:wordWrap w:val="0"/>
        <w:spacing w:beforeAutospacing="0" w:afterAutospacing="0" w:line="360" w:lineRule="auto"/>
        <w:ind w:firstLine="480"/>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4.GB/T32401-2015《VHF/UHF频段无线电监测接收机技术要求及测试方法》</w:t>
      </w:r>
    </w:p>
    <w:p w14:paraId="4BEBFFE4">
      <w:pPr>
        <w:pStyle w:val="5"/>
        <w:wordWrap w:val="0"/>
        <w:spacing w:beforeAutospacing="0" w:afterAutospacing="0" w:line="360" w:lineRule="auto"/>
        <w:ind w:firstLine="480"/>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5.（GB/T 34089-2017）《VHF/UHF无线电监测测向系统开场测试参数和测试方法》</w:t>
      </w:r>
    </w:p>
    <w:p w14:paraId="67FE059F">
      <w:pPr>
        <w:pStyle w:val="5"/>
        <w:wordWrap w:val="0"/>
        <w:spacing w:beforeAutospacing="0" w:afterAutospacing="0" w:line="360" w:lineRule="auto"/>
        <w:ind w:firstLine="480"/>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6.《VHF/UHF无线电监测设施建设规范和技术要求(试行)》</w:t>
      </w:r>
    </w:p>
    <w:p w14:paraId="61CCB17F">
      <w:pPr>
        <w:pStyle w:val="5"/>
        <w:wordWrap w:val="0"/>
        <w:spacing w:beforeAutospacing="0" w:afterAutospacing="0" w:line="360" w:lineRule="auto"/>
        <w:ind w:firstLine="480"/>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7.YD/T 3811《3GHz-12.75GHz频段无线电监测测向系统测试方法及技术要求》</w:t>
      </w:r>
    </w:p>
    <w:p w14:paraId="09F88D11">
      <w:pPr>
        <w:pStyle w:val="5"/>
        <w:wordWrap w:val="0"/>
        <w:spacing w:beforeAutospacing="0" w:afterAutospacing="0" w:line="360" w:lineRule="auto"/>
        <w:ind w:firstLine="480"/>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8.有关行业标准和规范(最新)</w:t>
      </w:r>
    </w:p>
    <w:p w14:paraId="585FA12D">
      <w:pPr>
        <w:ind w:firstLine="643" w:firstLineChars="200"/>
        <w:rPr>
          <w:rFonts w:hint="eastAsia" w:ascii="仿宋_GB2312" w:hAnsi="宋体" w:eastAsia="仿宋_GB2312"/>
          <w:sz w:val="32"/>
          <w:lang w:eastAsia="zh-CN"/>
        </w:rPr>
      </w:pPr>
      <w:r>
        <w:rPr>
          <w:rFonts w:hint="eastAsia" w:ascii="楷体" w:hAnsi="楷体" w:eastAsia="楷体" w:cs="楷体"/>
          <w:b/>
          <w:bCs/>
          <w:sz w:val="32"/>
          <w:lang w:eastAsia="zh-CN"/>
        </w:rPr>
        <w:t>（三）维护范围、内容及要求</w:t>
      </w:r>
    </w:p>
    <w:p w14:paraId="2A87E424">
      <w:pPr>
        <w:numPr>
          <w:ilvl w:val="0"/>
          <w:numId w:val="0"/>
        </w:numPr>
        <w:ind w:leftChars="0" w:firstLine="643" w:firstLineChars="200"/>
        <w:rPr>
          <w:rFonts w:hint="eastAsia"/>
          <w:lang w:eastAsia="zh-CN"/>
        </w:rPr>
      </w:pPr>
      <w:r>
        <w:rPr>
          <w:rFonts w:hint="eastAsia" w:ascii="仿宋_GB2312" w:hAnsi="宋体" w:eastAsia="仿宋_GB2312"/>
          <w:b/>
          <w:bCs/>
          <w:sz w:val="32"/>
          <w:lang w:eastAsia="zh-CN"/>
        </w:rPr>
        <w:t>1.维护范围</w:t>
      </w:r>
    </w:p>
    <w:p w14:paraId="57E1F125">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1.1无线电监测技术设施巡检服务，包括固定监测站（小型站）定期巡检服务、监测控制中心、网络机房、便携式监测设备</w:t>
      </w:r>
      <w:r>
        <w:rPr>
          <w:rFonts w:hint="eastAsia" w:ascii="仿宋_GB2312" w:hAnsi="宋体" w:eastAsia="仿宋_GB2312"/>
          <w:sz w:val="32"/>
          <w:lang w:val="en-US" w:eastAsia="zh-CN"/>
        </w:rPr>
        <w:t>、移动监测站</w:t>
      </w:r>
      <w:r>
        <w:rPr>
          <w:rFonts w:hint="eastAsia" w:ascii="仿宋_GB2312" w:hAnsi="宋体" w:eastAsia="仿宋_GB2312"/>
          <w:sz w:val="32"/>
          <w:lang w:eastAsia="zh-CN"/>
        </w:rPr>
        <w:t>定期巡检和日常检查；</w:t>
      </w:r>
    </w:p>
    <w:p w14:paraId="5B3DCAFF">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1.2不可预见维修，</w:t>
      </w:r>
      <w:r>
        <w:rPr>
          <w:rFonts w:hint="eastAsia" w:ascii="仿宋_GB2312" w:hAnsi="宋体" w:eastAsia="仿宋_GB2312"/>
          <w:color w:val="auto"/>
          <w:sz w:val="32"/>
          <w:lang w:eastAsia="zh-CN"/>
        </w:rPr>
        <w:t>包括固定监测站内设备与设施的故障排查与维修、安防监控设备系统故障排查与维修、小型监测站内设备与设施的故障排查与</w:t>
      </w:r>
      <w:r>
        <w:rPr>
          <w:rFonts w:hint="eastAsia" w:ascii="仿宋_GB2312" w:hAnsi="宋体" w:eastAsia="仿宋_GB2312"/>
          <w:sz w:val="32"/>
          <w:lang w:eastAsia="zh-CN"/>
        </w:rPr>
        <w:t>维修服务、监测控制中心和网络机房设备、便携式监测设备故障排查和维修服务。</w:t>
      </w:r>
    </w:p>
    <w:p w14:paraId="774C74A8">
      <w:pPr>
        <w:numPr>
          <w:ilvl w:val="0"/>
          <w:numId w:val="0"/>
        </w:numPr>
        <w:ind w:firstLine="643" w:firstLineChars="200"/>
        <w:rPr>
          <w:rFonts w:hint="eastAsia" w:ascii="仿宋_GB2312" w:hAnsi="宋体" w:eastAsia="仿宋_GB2312"/>
          <w:sz w:val="32"/>
          <w:lang w:eastAsia="zh-CN"/>
        </w:rPr>
      </w:pPr>
      <w:r>
        <w:rPr>
          <w:rFonts w:hint="eastAsia" w:ascii="仿宋_GB2312" w:hAnsi="宋体" w:eastAsia="仿宋_GB2312"/>
          <w:b/>
          <w:bCs/>
          <w:sz w:val="32"/>
          <w:lang w:eastAsia="zh-CN"/>
        </w:rPr>
        <w:t>2.维护内容及要求</w:t>
      </w:r>
    </w:p>
    <w:p w14:paraId="50EE28CD">
      <w:pPr>
        <w:numPr>
          <w:ilvl w:val="0"/>
          <w:numId w:val="0"/>
        </w:numPr>
        <w:ind w:leftChars="0"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2.1首次巡检勘查工作</w:t>
      </w:r>
    </w:p>
    <w:p w14:paraId="62C66769">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2.1.1具体内容</w:t>
      </w:r>
    </w:p>
    <w:p w14:paraId="4AA53ADD">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完成对固定监测站（小型站）、监测控制中心、网络机房设备、便携式监测设备当前状态进行初次的巡检勘查和摸底，以掌握设备的实际状况，主要内容包括但不限于：</w:t>
      </w:r>
    </w:p>
    <w:p w14:paraId="044E9928">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设备系统配置清查、点验；标称技术参数登记；标称应用功能登记；技术参数实测、登记；应用功能实际验证、登记；设备配置及当前状态拍照；设备状态综合评估、确认。</w:t>
      </w:r>
    </w:p>
    <w:p w14:paraId="60ED5564">
      <w:pPr>
        <w:numPr>
          <w:ilvl w:val="0"/>
          <w:numId w:val="0"/>
        </w:numPr>
        <w:ind w:leftChars="0"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2.1.2维护要求</w:t>
      </w:r>
    </w:p>
    <w:p w14:paraId="37DD7174">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成交人在合同签订后</w:t>
      </w:r>
      <w:r>
        <w:rPr>
          <w:rFonts w:hint="eastAsia" w:ascii="仿宋_GB2312" w:hAnsi="宋体" w:eastAsia="仿宋_GB2312"/>
          <w:sz w:val="32"/>
          <w:lang w:val="en-US" w:eastAsia="zh-CN"/>
        </w:rPr>
        <w:t>30</w:t>
      </w:r>
      <w:r>
        <w:rPr>
          <w:rFonts w:hint="eastAsia" w:ascii="仿宋_GB2312" w:hAnsi="宋体" w:eastAsia="仿宋_GB2312"/>
          <w:sz w:val="32"/>
          <w:lang w:eastAsia="zh-CN"/>
        </w:rPr>
        <w:t>日内完成首次巡检勘查工作，巡检勘察主要内容：</w:t>
      </w:r>
    </w:p>
    <w:p w14:paraId="2BDA9DA0">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（1）对无线电监测设施进行全面测试和检查；</w:t>
      </w:r>
    </w:p>
    <w:p w14:paraId="202E488F">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（2）对无线电监测配套设施及系统进行常规查验，掌握各类设备及系统的实际运行状况；</w:t>
      </w:r>
    </w:p>
    <w:p w14:paraId="6A994147">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3）对无线电监测设施进行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14:paraId="27F0113B">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（4）对无线电监测设施全景和各设施局部场景等进行拍摄采集，对各无线电监测设备状态进行综合评估并建立完整的、标准的运维档案。</w:t>
      </w:r>
    </w:p>
    <w:p w14:paraId="1ED5B2EF">
      <w:pPr>
        <w:numPr>
          <w:ilvl w:val="0"/>
          <w:numId w:val="0"/>
        </w:numPr>
        <w:ind w:leftChars="0"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2.2.定期巡检维护</w:t>
      </w:r>
    </w:p>
    <w:p w14:paraId="4F28BB3B">
      <w:pPr>
        <w:numPr>
          <w:ilvl w:val="0"/>
          <w:numId w:val="0"/>
        </w:numPr>
        <w:ind w:leftChars="0"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2.2.1现场巡检总体要求</w:t>
      </w:r>
    </w:p>
    <w:p w14:paraId="7FF636A4">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（1）实施巡检前应编制巡检计划、规范巡检程序并向采购人报备，巡检内容应满足国家和省有关监测设施巡检规范和要求；</w:t>
      </w:r>
    </w:p>
    <w:p w14:paraId="47B40759">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（2）每次现场巡检需对机房环境、设备运行、铁塔天馈、配电、防雷、空调运行、消防、安防等全要素进行巡查；</w:t>
      </w:r>
    </w:p>
    <w:p w14:paraId="12046BE5">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（3）保持机房环境整洁，设施完好，发现故障时应及时向采购人汇报，小问题（故障）应当场处理，并做好监测设施巡检维护记录；</w:t>
      </w:r>
    </w:p>
    <w:p w14:paraId="497F0A91">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（4）季度巡检结束后15日内须提供一份满足要求的季度巡检服务报告。</w:t>
      </w:r>
    </w:p>
    <w:p w14:paraId="4DF1895B">
      <w:pPr>
        <w:numPr>
          <w:ilvl w:val="0"/>
          <w:numId w:val="0"/>
        </w:numPr>
        <w:ind w:leftChars="0" w:firstLine="640" w:firstLineChars="200"/>
        <w:rPr>
          <w:rFonts w:hint="default" w:ascii="仿宋_GB2312" w:hAnsi="宋体" w:eastAsia="仿宋_GB2312"/>
          <w:sz w:val="32"/>
          <w:lang w:val="en-US" w:eastAsia="zh-CN"/>
        </w:rPr>
      </w:pPr>
      <w:r>
        <w:rPr>
          <w:rFonts w:hint="eastAsia" w:ascii="仿宋_GB2312" w:hAnsi="宋体" w:eastAsia="仿宋_GB2312"/>
          <w:sz w:val="32"/>
          <w:lang w:eastAsia="zh-CN"/>
        </w:rPr>
        <w:t>2.</w:t>
      </w:r>
      <w:r>
        <w:rPr>
          <w:rFonts w:hint="eastAsia" w:ascii="仿宋_GB2312" w:hAnsi="宋体" w:eastAsia="仿宋_GB2312"/>
          <w:sz w:val="32"/>
          <w:lang w:val="en-US" w:eastAsia="zh-CN"/>
        </w:rPr>
        <w:t>2.2定期现场巡检内容</w:t>
      </w:r>
    </w:p>
    <w:p w14:paraId="1B59E79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宋体" w:eastAsia="仿宋_GB2312"/>
          <w:sz w:val="32"/>
          <w:lang w:val="en-US" w:eastAsia="zh-CN"/>
        </w:rPr>
      </w:pPr>
      <w:r>
        <w:rPr>
          <w:rFonts w:hint="eastAsia" w:ascii="仿宋_GB2312" w:hAnsi="宋体" w:eastAsia="仿宋_GB2312"/>
          <w:sz w:val="32"/>
          <w:lang w:eastAsia="zh-CN"/>
        </w:rPr>
        <w:t>（1）</w:t>
      </w:r>
      <w:r>
        <w:rPr>
          <w:rFonts w:hint="eastAsia" w:ascii="仿宋_GB2312" w:hAnsi="宋体" w:eastAsia="仿宋_GB2312"/>
          <w:sz w:val="32"/>
          <w:lang w:val="en-US" w:eastAsia="zh-CN"/>
        </w:rPr>
        <w:t>固定监测站</w:t>
      </w:r>
    </w:p>
    <w:p w14:paraId="55396147">
      <w:pPr>
        <w:ind w:firstLine="640" w:firstLineChars="200"/>
        <w:rPr>
          <w:rFonts w:hint="eastAsia"/>
          <w:lang w:eastAsia="zh-CN"/>
        </w:rPr>
      </w:pPr>
      <w:r>
        <w:rPr>
          <w:rFonts w:hint="eastAsia" w:ascii="仿宋_GB2312" w:hAnsi="宋体" w:eastAsia="仿宋_GB2312"/>
          <w:sz w:val="32"/>
          <w:lang w:eastAsia="zh-CN"/>
        </w:rPr>
        <w:t>现场巡检内容具体如下（巡检内容应根据国家和省有关监测设施巡检规范和要求实时更新调整）：</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38"/>
        <w:gridCol w:w="1266"/>
        <w:gridCol w:w="2381"/>
        <w:gridCol w:w="4028"/>
      </w:tblGrid>
      <w:tr w14:paraId="7DC8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tcBorders>
              <w:tl2br w:val="nil"/>
              <w:tr2bl w:val="nil"/>
            </w:tcBorders>
            <w:shd w:val="clear" w:color="auto" w:fill="FFFFFF"/>
            <w:vAlign w:val="center"/>
          </w:tcPr>
          <w:p w14:paraId="04D90DE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序号</w:t>
            </w:r>
          </w:p>
        </w:tc>
        <w:tc>
          <w:tcPr>
            <w:tcW w:w="761" w:type="pct"/>
            <w:tcBorders>
              <w:tl2br w:val="nil"/>
              <w:tr2bl w:val="nil"/>
            </w:tcBorders>
            <w:shd w:val="clear" w:color="auto" w:fill="FFFFFF"/>
            <w:vAlign w:val="center"/>
          </w:tcPr>
          <w:p w14:paraId="01B3FA2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巡检设备</w:t>
            </w:r>
          </w:p>
        </w:tc>
        <w:tc>
          <w:tcPr>
            <w:tcW w:w="1431" w:type="pct"/>
            <w:tcBorders>
              <w:tl2br w:val="nil"/>
              <w:tr2bl w:val="nil"/>
            </w:tcBorders>
            <w:shd w:val="clear" w:color="auto" w:fill="FFFFFF"/>
            <w:vAlign w:val="center"/>
          </w:tcPr>
          <w:p w14:paraId="6126AF6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巡检项目</w:t>
            </w:r>
          </w:p>
        </w:tc>
        <w:tc>
          <w:tcPr>
            <w:tcW w:w="2421" w:type="pct"/>
            <w:tcBorders>
              <w:tl2br w:val="nil"/>
              <w:tr2bl w:val="nil"/>
            </w:tcBorders>
            <w:shd w:val="clear" w:color="auto" w:fill="FFFFFF"/>
            <w:vAlign w:val="center"/>
          </w:tcPr>
          <w:p w14:paraId="3057C06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巡检要求</w:t>
            </w:r>
          </w:p>
        </w:tc>
      </w:tr>
      <w:tr w14:paraId="30B4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742EC10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1</w:t>
            </w:r>
          </w:p>
        </w:tc>
        <w:tc>
          <w:tcPr>
            <w:tcW w:w="761" w:type="pct"/>
            <w:vMerge w:val="restart"/>
            <w:tcBorders>
              <w:tl2br w:val="nil"/>
              <w:tr2bl w:val="nil"/>
            </w:tcBorders>
            <w:shd w:val="clear" w:color="auto" w:fill="FFFFFF"/>
            <w:vAlign w:val="center"/>
          </w:tcPr>
          <w:p w14:paraId="295DD6F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天馈系统</w:t>
            </w:r>
          </w:p>
        </w:tc>
        <w:tc>
          <w:tcPr>
            <w:tcW w:w="1431" w:type="pct"/>
            <w:tcBorders>
              <w:tl2br w:val="nil"/>
              <w:tr2bl w:val="nil"/>
            </w:tcBorders>
            <w:shd w:val="clear" w:color="auto" w:fill="FFFFFF"/>
            <w:vAlign w:val="center"/>
          </w:tcPr>
          <w:p w14:paraId="0C94AD8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监测通路驻波比检查</w:t>
            </w:r>
          </w:p>
        </w:tc>
        <w:tc>
          <w:tcPr>
            <w:tcW w:w="2421" w:type="pct"/>
            <w:vMerge w:val="restart"/>
            <w:tcBorders>
              <w:tl2br w:val="nil"/>
              <w:tr2bl w:val="nil"/>
            </w:tcBorders>
            <w:shd w:val="clear" w:color="auto" w:fill="FFFFFF"/>
            <w:vAlign w:val="center"/>
          </w:tcPr>
          <w:p w14:paraId="75C3B84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检查监测天线在其工作范围的工作状态，确保能够实时准确的捕捉到天线所处空间的电波信号。</w:t>
            </w:r>
          </w:p>
        </w:tc>
      </w:tr>
      <w:tr w14:paraId="1B80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384" w:type="pct"/>
            <w:vMerge w:val="continue"/>
            <w:tcBorders>
              <w:tl2br w:val="nil"/>
              <w:tr2bl w:val="nil"/>
            </w:tcBorders>
            <w:shd w:val="clear" w:color="auto" w:fill="FFFFFF"/>
            <w:vAlign w:val="center"/>
          </w:tcPr>
          <w:p w14:paraId="30D019B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p>
        </w:tc>
        <w:tc>
          <w:tcPr>
            <w:tcW w:w="761" w:type="pct"/>
            <w:vMerge w:val="continue"/>
            <w:tcBorders>
              <w:tl2br w:val="nil"/>
              <w:tr2bl w:val="nil"/>
            </w:tcBorders>
            <w:shd w:val="clear" w:color="auto" w:fill="FFFFFF"/>
            <w:vAlign w:val="center"/>
          </w:tcPr>
          <w:p w14:paraId="0D0DF7D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p>
        </w:tc>
        <w:tc>
          <w:tcPr>
            <w:tcW w:w="1431" w:type="pct"/>
            <w:tcBorders>
              <w:tl2br w:val="nil"/>
              <w:tr2bl w:val="nil"/>
            </w:tcBorders>
            <w:shd w:val="clear" w:color="auto" w:fill="FFFFFF"/>
            <w:vAlign w:val="center"/>
          </w:tcPr>
          <w:p w14:paraId="71A763B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监测功能</w:t>
            </w:r>
          </w:p>
        </w:tc>
        <w:tc>
          <w:tcPr>
            <w:tcW w:w="2421" w:type="pct"/>
            <w:vMerge w:val="continue"/>
            <w:tcBorders>
              <w:tl2br w:val="nil"/>
              <w:tr2bl w:val="nil"/>
            </w:tcBorders>
            <w:shd w:val="clear" w:color="auto" w:fill="FFFFFF"/>
            <w:vAlign w:val="center"/>
          </w:tcPr>
          <w:p w14:paraId="43301E9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p>
        </w:tc>
      </w:tr>
      <w:tr w14:paraId="41A4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384" w:type="pct"/>
            <w:vMerge w:val="continue"/>
            <w:tcBorders>
              <w:tl2br w:val="nil"/>
              <w:tr2bl w:val="nil"/>
            </w:tcBorders>
            <w:shd w:val="clear" w:color="auto" w:fill="FFFFFF"/>
            <w:vAlign w:val="center"/>
          </w:tcPr>
          <w:p w14:paraId="099C5B1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p>
        </w:tc>
        <w:tc>
          <w:tcPr>
            <w:tcW w:w="761" w:type="pct"/>
            <w:vMerge w:val="continue"/>
            <w:tcBorders>
              <w:tl2br w:val="nil"/>
              <w:tr2bl w:val="nil"/>
            </w:tcBorders>
            <w:shd w:val="clear" w:color="auto" w:fill="FFFFFF"/>
            <w:vAlign w:val="center"/>
          </w:tcPr>
          <w:p w14:paraId="05F8BE5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p>
        </w:tc>
        <w:tc>
          <w:tcPr>
            <w:tcW w:w="1431" w:type="pct"/>
            <w:tcBorders>
              <w:tl2br w:val="nil"/>
              <w:tr2bl w:val="nil"/>
            </w:tcBorders>
            <w:shd w:val="clear" w:color="auto" w:fill="FFFFFF"/>
            <w:vAlign w:val="center"/>
          </w:tcPr>
          <w:p w14:paraId="681855B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天线阵单元检查</w:t>
            </w:r>
          </w:p>
        </w:tc>
        <w:tc>
          <w:tcPr>
            <w:tcW w:w="2421" w:type="pct"/>
            <w:tcBorders>
              <w:tl2br w:val="nil"/>
              <w:tr2bl w:val="nil"/>
            </w:tcBorders>
            <w:shd w:val="clear" w:color="auto" w:fill="FFFFFF"/>
            <w:vAlign w:val="center"/>
          </w:tcPr>
          <w:p w14:paraId="0233B46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检查测向天线各阵子工作是否正常。</w:t>
            </w:r>
          </w:p>
        </w:tc>
      </w:tr>
      <w:tr w14:paraId="1D9F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2833177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66D0E3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31F17E1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天线外观检查</w:t>
            </w:r>
          </w:p>
        </w:tc>
        <w:tc>
          <w:tcPr>
            <w:tcW w:w="2421" w:type="pct"/>
            <w:tcBorders>
              <w:tl2br w:val="nil"/>
              <w:tr2bl w:val="nil"/>
            </w:tcBorders>
            <w:shd w:val="clear" w:color="auto" w:fill="FFFFFF"/>
            <w:vAlign w:val="center"/>
          </w:tcPr>
          <w:p w14:paraId="5F9C61E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检查天线自身，确保天线外部无损伤。</w:t>
            </w:r>
          </w:p>
        </w:tc>
      </w:tr>
      <w:tr w14:paraId="2462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D1E2F0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04E6DEF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178D484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天线及天线支臂固定情况检查</w:t>
            </w:r>
          </w:p>
        </w:tc>
        <w:tc>
          <w:tcPr>
            <w:tcW w:w="2421" w:type="pct"/>
            <w:tcBorders>
              <w:tl2br w:val="nil"/>
              <w:tr2bl w:val="nil"/>
            </w:tcBorders>
            <w:shd w:val="clear" w:color="auto" w:fill="FFFFFF"/>
            <w:vAlign w:val="center"/>
          </w:tcPr>
          <w:p w14:paraId="7B70143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检查天线固定情况，查看天线和天线支臂是否存在松动。查看固定天线的螺丝是否存在氧化情况。</w:t>
            </w:r>
          </w:p>
        </w:tc>
      </w:tr>
      <w:tr w14:paraId="07F8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73A610B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0EF9A79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63FD9C2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馈线、控制线接头检查</w:t>
            </w:r>
          </w:p>
        </w:tc>
        <w:tc>
          <w:tcPr>
            <w:tcW w:w="2421" w:type="pct"/>
            <w:vMerge w:val="restart"/>
            <w:tcBorders>
              <w:tl2br w:val="nil"/>
              <w:tr2bl w:val="nil"/>
            </w:tcBorders>
            <w:shd w:val="clear" w:color="auto" w:fill="FFFFFF"/>
            <w:vAlign w:val="center"/>
          </w:tcPr>
          <w:p w14:paraId="3E61B30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检查馈线、控制线接头是否存在裸露或氧化情况。及时有效的做好防水处理。</w:t>
            </w:r>
          </w:p>
        </w:tc>
      </w:tr>
      <w:tr w14:paraId="0237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3E41276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E356AA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701DB93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防水情况检查</w:t>
            </w:r>
          </w:p>
        </w:tc>
        <w:tc>
          <w:tcPr>
            <w:tcW w:w="2421" w:type="pct"/>
            <w:vMerge w:val="continue"/>
            <w:tcBorders>
              <w:tl2br w:val="nil"/>
              <w:tr2bl w:val="nil"/>
            </w:tcBorders>
            <w:shd w:val="clear" w:color="auto" w:fill="FFFFFF"/>
            <w:vAlign w:val="center"/>
          </w:tcPr>
          <w:p w14:paraId="52F4927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5719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restart"/>
            <w:tcBorders>
              <w:tl2br w:val="nil"/>
              <w:tr2bl w:val="nil"/>
            </w:tcBorders>
            <w:shd w:val="clear" w:color="auto" w:fill="FFFFFF"/>
            <w:vAlign w:val="center"/>
          </w:tcPr>
          <w:p w14:paraId="4FB7D9E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2</w:t>
            </w:r>
          </w:p>
        </w:tc>
        <w:tc>
          <w:tcPr>
            <w:tcW w:w="761" w:type="pct"/>
            <w:vMerge w:val="restart"/>
            <w:tcBorders>
              <w:tl2br w:val="nil"/>
              <w:tr2bl w:val="nil"/>
            </w:tcBorders>
            <w:shd w:val="clear" w:color="auto" w:fill="FFFFFF"/>
            <w:vAlign w:val="center"/>
          </w:tcPr>
          <w:p w14:paraId="6038F20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监测系统</w:t>
            </w:r>
          </w:p>
        </w:tc>
        <w:tc>
          <w:tcPr>
            <w:tcW w:w="1431" w:type="pct"/>
            <w:tcBorders>
              <w:tl2br w:val="nil"/>
              <w:tr2bl w:val="nil"/>
            </w:tcBorders>
            <w:shd w:val="clear" w:color="auto" w:fill="FFFFFF"/>
            <w:vAlign w:val="center"/>
          </w:tcPr>
          <w:p w14:paraId="3C1A75F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频率准确度</w:t>
            </w:r>
          </w:p>
        </w:tc>
        <w:tc>
          <w:tcPr>
            <w:tcW w:w="2421" w:type="pct"/>
            <w:vMerge w:val="restart"/>
            <w:tcBorders>
              <w:tl2br w:val="nil"/>
              <w:tr2bl w:val="nil"/>
            </w:tcBorders>
            <w:shd w:val="clear" w:color="auto" w:fill="FFFFFF"/>
            <w:vAlign w:val="center"/>
          </w:tcPr>
          <w:p w14:paraId="620E41F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r>
              <w:rPr>
                <w:rFonts w:hint="eastAsia" w:ascii="宋体" w:hAnsi="宋体" w:eastAsia="宋体" w:cs="宋体"/>
                <w:sz w:val="24"/>
                <w:szCs w:val="24"/>
              </w:rPr>
              <w:t>检查设备测量接收精度在设备的工作范围内，确保其工作正常。</w:t>
            </w:r>
          </w:p>
        </w:tc>
      </w:tr>
      <w:tr w14:paraId="3B73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14671B7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761" w:type="pct"/>
            <w:vMerge w:val="continue"/>
            <w:tcBorders>
              <w:tl2br w:val="nil"/>
              <w:tr2bl w:val="nil"/>
            </w:tcBorders>
            <w:shd w:val="clear" w:color="auto" w:fill="FFFFFF"/>
            <w:vAlign w:val="center"/>
          </w:tcPr>
          <w:p w14:paraId="7EB1616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1431" w:type="pct"/>
            <w:tcBorders>
              <w:tl2br w:val="nil"/>
              <w:tr2bl w:val="nil"/>
            </w:tcBorders>
            <w:shd w:val="clear" w:color="auto" w:fill="FFFFFF"/>
            <w:vAlign w:val="center"/>
          </w:tcPr>
          <w:p w14:paraId="51D4107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扫描速度</w:t>
            </w:r>
          </w:p>
        </w:tc>
        <w:tc>
          <w:tcPr>
            <w:tcW w:w="2421" w:type="pct"/>
            <w:vMerge w:val="continue"/>
            <w:tcBorders>
              <w:tl2br w:val="nil"/>
              <w:tr2bl w:val="nil"/>
            </w:tcBorders>
            <w:shd w:val="clear" w:color="auto" w:fill="FFFFFF"/>
            <w:vAlign w:val="center"/>
          </w:tcPr>
          <w:p w14:paraId="5495668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4063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7DF89DF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761" w:type="pct"/>
            <w:vMerge w:val="continue"/>
            <w:tcBorders>
              <w:tl2br w:val="nil"/>
              <w:tr2bl w:val="nil"/>
            </w:tcBorders>
            <w:shd w:val="clear" w:color="auto" w:fill="FFFFFF"/>
            <w:vAlign w:val="center"/>
          </w:tcPr>
          <w:p w14:paraId="1C4AE48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1431" w:type="pct"/>
            <w:tcBorders>
              <w:tl2br w:val="nil"/>
              <w:tr2bl w:val="nil"/>
            </w:tcBorders>
            <w:shd w:val="clear" w:color="auto" w:fill="FFFFFF"/>
            <w:vAlign w:val="center"/>
          </w:tcPr>
          <w:p w14:paraId="4236E7F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电平测量误差</w:t>
            </w:r>
          </w:p>
        </w:tc>
        <w:tc>
          <w:tcPr>
            <w:tcW w:w="2421" w:type="pct"/>
            <w:vMerge w:val="continue"/>
            <w:tcBorders>
              <w:tl2br w:val="nil"/>
              <w:tr2bl w:val="nil"/>
            </w:tcBorders>
            <w:shd w:val="clear" w:color="auto" w:fill="FFFFFF"/>
            <w:vAlign w:val="center"/>
          </w:tcPr>
          <w:p w14:paraId="0EA2791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2FD6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32CEFC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761" w:type="pct"/>
            <w:vMerge w:val="continue"/>
            <w:tcBorders>
              <w:tl2br w:val="nil"/>
              <w:tr2bl w:val="nil"/>
            </w:tcBorders>
            <w:shd w:val="clear" w:color="auto" w:fill="FFFFFF"/>
            <w:vAlign w:val="center"/>
          </w:tcPr>
          <w:p w14:paraId="44C6DDC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1431" w:type="pct"/>
            <w:tcBorders>
              <w:tl2br w:val="nil"/>
              <w:tr2bl w:val="nil"/>
            </w:tcBorders>
            <w:shd w:val="clear" w:color="auto" w:fill="FFFFFF"/>
            <w:vAlign w:val="center"/>
          </w:tcPr>
          <w:p w14:paraId="0DFC0D2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设备外观</w:t>
            </w:r>
          </w:p>
        </w:tc>
        <w:tc>
          <w:tcPr>
            <w:tcW w:w="2421" w:type="pct"/>
            <w:vMerge w:val="restart"/>
            <w:tcBorders>
              <w:tl2br w:val="nil"/>
              <w:tr2bl w:val="nil"/>
            </w:tcBorders>
            <w:shd w:val="clear" w:color="auto" w:fill="FFFFFF"/>
            <w:vAlign w:val="center"/>
          </w:tcPr>
          <w:p w14:paraId="4F48CA7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检查设备硬件部分，确定设备自身工作状态的稳 定性，确定设备工作面板按键对设备操作时是否能够响应操作。</w:t>
            </w:r>
          </w:p>
        </w:tc>
      </w:tr>
      <w:tr w14:paraId="5203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1D624A6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7BDB450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1511C77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设备开关机</w:t>
            </w:r>
          </w:p>
        </w:tc>
        <w:tc>
          <w:tcPr>
            <w:tcW w:w="2421" w:type="pct"/>
            <w:vMerge w:val="continue"/>
            <w:tcBorders>
              <w:tl2br w:val="nil"/>
              <w:tr2bl w:val="nil"/>
            </w:tcBorders>
            <w:shd w:val="clear" w:color="auto" w:fill="FFFFFF"/>
            <w:vAlign w:val="center"/>
          </w:tcPr>
          <w:p w14:paraId="1EABDF3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358A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59AF9CF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887229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2A23A48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屏幕显示</w:t>
            </w:r>
          </w:p>
        </w:tc>
        <w:tc>
          <w:tcPr>
            <w:tcW w:w="2421" w:type="pct"/>
            <w:vMerge w:val="continue"/>
            <w:tcBorders>
              <w:tl2br w:val="nil"/>
              <w:tr2bl w:val="nil"/>
            </w:tcBorders>
            <w:shd w:val="clear" w:color="auto" w:fill="FFFFFF"/>
            <w:vAlign w:val="center"/>
          </w:tcPr>
          <w:p w14:paraId="4226863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5537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224B282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6877110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0C1C619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按键操作</w:t>
            </w:r>
          </w:p>
        </w:tc>
        <w:tc>
          <w:tcPr>
            <w:tcW w:w="2421" w:type="pct"/>
            <w:vMerge w:val="continue"/>
            <w:tcBorders>
              <w:tl2br w:val="nil"/>
              <w:tr2bl w:val="nil"/>
            </w:tcBorders>
            <w:shd w:val="clear" w:color="auto" w:fill="FFFFFF"/>
            <w:vAlign w:val="center"/>
          </w:tcPr>
          <w:p w14:paraId="65C72BF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77B4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0B1A6A6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A368E3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338C63A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接收机自检</w:t>
            </w:r>
          </w:p>
        </w:tc>
        <w:tc>
          <w:tcPr>
            <w:tcW w:w="2421" w:type="pct"/>
            <w:vMerge w:val="continue"/>
            <w:tcBorders>
              <w:tl2br w:val="nil"/>
              <w:tr2bl w:val="nil"/>
            </w:tcBorders>
            <w:shd w:val="clear" w:color="auto" w:fill="FFFFFF"/>
            <w:vAlign w:val="center"/>
          </w:tcPr>
          <w:p w14:paraId="1CA7070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5FA2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4A7EF08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6FAA350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7F67877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设备地线连接检查</w:t>
            </w:r>
          </w:p>
        </w:tc>
        <w:tc>
          <w:tcPr>
            <w:tcW w:w="2421" w:type="pct"/>
            <w:tcBorders>
              <w:tl2br w:val="nil"/>
              <w:tr2bl w:val="nil"/>
            </w:tcBorders>
            <w:shd w:val="clear" w:color="auto" w:fill="FFFFFF"/>
            <w:vAlign w:val="center"/>
          </w:tcPr>
          <w:p w14:paraId="4C69679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检查设备自身的防雷接地处理情况。避免在雷雨季节由于感应雷所造成的设备故障。</w:t>
            </w:r>
          </w:p>
        </w:tc>
      </w:tr>
      <w:tr w14:paraId="0ADB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B124BE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E19956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1A370AF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单频测量</w:t>
            </w:r>
          </w:p>
        </w:tc>
        <w:tc>
          <w:tcPr>
            <w:tcW w:w="2421" w:type="pct"/>
            <w:vMerge w:val="restart"/>
            <w:tcBorders>
              <w:tl2br w:val="nil"/>
              <w:tr2bl w:val="nil"/>
            </w:tcBorders>
            <w:shd w:val="clear" w:color="auto" w:fill="FFFFFF"/>
            <w:vAlign w:val="center"/>
          </w:tcPr>
          <w:p w14:paraId="577D692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检查设备通过软件的控制过程，是否存在软件无法进行数据响应交换。</w:t>
            </w:r>
          </w:p>
        </w:tc>
      </w:tr>
      <w:tr w14:paraId="70D3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F220EA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7C21CF6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5017886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频段扫描</w:t>
            </w:r>
          </w:p>
        </w:tc>
        <w:tc>
          <w:tcPr>
            <w:tcW w:w="2421" w:type="pct"/>
            <w:vMerge w:val="continue"/>
            <w:tcBorders>
              <w:tl2br w:val="nil"/>
              <w:tr2bl w:val="nil"/>
            </w:tcBorders>
            <w:shd w:val="clear" w:color="auto" w:fill="FFFFFF"/>
            <w:vAlign w:val="center"/>
          </w:tcPr>
          <w:p w14:paraId="504179E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570B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53F928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A755F5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6C898C8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离散扫描</w:t>
            </w:r>
          </w:p>
        </w:tc>
        <w:tc>
          <w:tcPr>
            <w:tcW w:w="2421" w:type="pct"/>
            <w:vMerge w:val="continue"/>
            <w:tcBorders>
              <w:tl2br w:val="nil"/>
              <w:tr2bl w:val="nil"/>
            </w:tcBorders>
            <w:shd w:val="clear" w:color="auto" w:fill="FFFFFF"/>
            <w:vAlign w:val="center"/>
          </w:tcPr>
          <w:p w14:paraId="2F2185A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2763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53BDE59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32B42F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13B15D3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设备除尘</w:t>
            </w:r>
          </w:p>
        </w:tc>
        <w:tc>
          <w:tcPr>
            <w:tcW w:w="2421" w:type="pct"/>
            <w:tcBorders>
              <w:tl2br w:val="nil"/>
              <w:tr2bl w:val="nil"/>
            </w:tcBorders>
            <w:shd w:val="clear" w:color="auto" w:fill="FFFFFF"/>
            <w:vAlign w:val="center"/>
          </w:tcPr>
          <w:p w14:paraId="1F13035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检查设备自身工作环境，对设备工作有影响的因素进行解决</w:t>
            </w:r>
          </w:p>
        </w:tc>
      </w:tr>
      <w:tr w14:paraId="6D2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1137BE4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3</w:t>
            </w:r>
          </w:p>
        </w:tc>
        <w:tc>
          <w:tcPr>
            <w:tcW w:w="761" w:type="pct"/>
            <w:vMerge w:val="restart"/>
            <w:tcBorders>
              <w:tl2br w:val="nil"/>
              <w:tr2bl w:val="nil"/>
            </w:tcBorders>
            <w:shd w:val="clear" w:color="auto" w:fill="FFFFFF"/>
            <w:vAlign w:val="center"/>
          </w:tcPr>
          <w:p w14:paraId="7C47F57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测向系统</w:t>
            </w:r>
          </w:p>
        </w:tc>
        <w:tc>
          <w:tcPr>
            <w:tcW w:w="1431" w:type="pct"/>
            <w:tcBorders>
              <w:tl2br w:val="nil"/>
              <w:tr2bl w:val="nil"/>
            </w:tcBorders>
            <w:shd w:val="clear" w:color="auto" w:fill="FFFFFF"/>
            <w:vAlign w:val="center"/>
          </w:tcPr>
          <w:p w14:paraId="47D4950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测向精度</w:t>
            </w:r>
          </w:p>
        </w:tc>
        <w:tc>
          <w:tcPr>
            <w:tcW w:w="2421" w:type="pct"/>
            <w:tcBorders>
              <w:tl2br w:val="nil"/>
              <w:tr2bl w:val="nil"/>
            </w:tcBorders>
            <w:shd w:val="clear" w:color="auto" w:fill="FFFFFF"/>
            <w:vAlign w:val="center"/>
          </w:tcPr>
          <w:p w14:paraId="0F2A430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检查测向机的测向等功能是否正常且测向准确。</w:t>
            </w:r>
          </w:p>
        </w:tc>
      </w:tr>
      <w:tr w14:paraId="0F8B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099587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761" w:type="pct"/>
            <w:vMerge w:val="continue"/>
            <w:tcBorders>
              <w:tl2br w:val="nil"/>
              <w:tr2bl w:val="nil"/>
            </w:tcBorders>
            <w:shd w:val="clear" w:color="auto" w:fill="FFFFFF"/>
            <w:vAlign w:val="center"/>
          </w:tcPr>
          <w:p w14:paraId="029921D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1431" w:type="pct"/>
            <w:tcBorders>
              <w:tl2br w:val="nil"/>
              <w:tr2bl w:val="nil"/>
            </w:tcBorders>
            <w:shd w:val="clear" w:color="auto" w:fill="FFFFFF"/>
            <w:vAlign w:val="center"/>
          </w:tcPr>
          <w:p w14:paraId="45230B6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信标台站测试</w:t>
            </w:r>
          </w:p>
        </w:tc>
        <w:tc>
          <w:tcPr>
            <w:tcW w:w="2421" w:type="pct"/>
            <w:tcBorders>
              <w:tl2br w:val="nil"/>
              <w:tr2bl w:val="nil"/>
            </w:tcBorders>
            <w:shd w:val="clear" w:color="auto" w:fill="FFFFFF"/>
            <w:vAlign w:val="center"/>
          </w:tcPr>
          <w:p w14:paraId="7E8D9EF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检查测向机的测向等功能是否正常且测向准确。</w:t>
            </w:r>
          </w:p>
        </w:tc>
      </w:tr>
      <w:tr w14:paraId="2BBE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416CA6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C3205D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04D22E7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设备外观</w:t>
            </w:r>
          </w:p>
        </w:tc>
        <w:tc>
          <w:tcPr>
            <w:tcW w:w="2421" w:type="pct"/>
            <w:vMerge w:val="restart"/>
            <w:tcBorders>
              <w:tl2br w:val="nil"/>
              <w:tr2bl w:val="nil"/>
            </w:tcBorders>
            <w:shd w:val="clear" w:color="auto" w:fill="FFFFFF"/>
            <w:vAlign w:val="center"/>
          </w:tcPr>
          <w:p w14:paraId="3693EE4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检查设备硬件部分，确定设备自身工作状态的稳 定性，确定设备工作面板按键对设备操作时是否能够响应操作。</w:t>
            </w:r>
          </w:p>
        </w:tc>
      </w:tr>
      <w:tr w14:paraId="6054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59644FE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0DAEE2F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0680880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设备开关机</w:t>
            </w:r>
          </w:p>
        </w:tc>
        <w:tc>
          <w:tcPr>
            <w:tcW w:w="2421" w:type="pct"/>
            <w:vMerge w:val="continue"/>
            <w:tcBorders>
              <w:tl2br w:val="nil"/>
              <w:tr2bl w:val="nil"/>
            </w:tcBorders>
            <w:shd w:val="clear" w:color="auto" w:fill="FFFFFF"/>
            <w:vAlign w:val="center"/>
          </w:tcPr>
          <w:p w14:paraId="33F779E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37A3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03CAFE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BF0EC2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45564F6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屏幕显示</w:t>
            </w:r>
          </w:p>
        </w:tc>
        <w:tc>
          <w:tcPr>
            <w:tcW w:w="2421" w:type="pct"/>
            <w:vMerge w:val="continue"/>
            <w:tcBorders>
              <w:tl2br w:val="nil"/>
              <w:tr2bl w:val="nil"/>
            </w:tcBorders>
            <w:shd w:val="clear" w:color="auto" w:fill="FFFFFF"/>
            <w:vAlign w:val="center"/>
          </w:tcPr>
          <w:p w14:paraId="6C7A0F1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34AD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F457C8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5B239D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76EA87C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按键操作</w:t>
            </w:r>
          </w:p>
        </w:tc>
        <w:tc>
          <w:tcPr>
            <w:tcW w:w="2421" w:type="pct"/>
            <w:vMerge w:val="continue"/>
            <w:tcBorders>
              <w:tl2br w:val="nil"/>
              <w:tr2bl w:val="nil"/>
            </w:tcBorders>
            <w:shd w:val="clear" w:color="auto" w:fill="FFFFFF"/>
            <w:vAlign w:val="center"/>
          </w:tcPr>
          <w:p w14:paraId="1D9FB9E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5420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7E200A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889B10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583D1D3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测向机自检</w:t>
            </w:r>
          </w:p>
        </w:tc>
        <w:tc>
          <w:tcPr>
            <w:tcW w:w="2421" w:type="pct"/>
            <w:vMerge w:val="continue"/>
            <w:tcBorders>
              <w:tl2br w:val="nil"/>
              <w:tr2bl w:val="nil"/>
            </w:tcBorders>
            <w:shd w:val="clear" w:color="auto" w:fill="FFFFFF"/>
            <w:vAlign w:val="center"/>
          </w:tcPr>
          <w:p w14:paraId="4C3C6A9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15BF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D52E53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18902EB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76D117B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设备地线连接检查</w:t>
            </w:r>
          </w:p>
        </w:tc>
        <w:tc>
          <w:tcPr>
            <w:tcW w:w="2421" w:type="pct"/>
            <w:tcBorders>
              <w:tl2br w:val="nil"/>
              <w:tr2bl w:val="nil"/>
            </w:tcBorders>
            <w:shd w:val="clear" w:color="auto" w:fill="FFFFFF"/>
            <w:vAlign w:val="center"/>
          </w:tcPr>
          <w:p w14:paraId="7DA7DC3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检查设备自身的防雷接地处理情况，避免在雷雨季节由于感应雷所造成的设备故障。</w:t>
            </w:r>
          </w:p>
        </w:tc>
      </w:tr>
      <w:tr w14:paraId="7831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B279E9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11951A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0F7E599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设备除尘</w:t>
            </w:r>
          </w:p>
        </w:tc>
        <w:tc>
          <w:tcPr>
            <w:tcW w:w="2421" w:type="pct"/>
            <w:tcBorders>
              <w:tl2br w:val="nil"/>
              <w:tr2bl w:val="nil"/>
            </w:tcBorders>
            <w:shd w:val="clear" w:color="auto" w:fill="FFFFFF"/>
            <w:vAlign w:val="center"/>
          </w:tcPr>
          <w:p w14:paraId="715272D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检查设备自身工作环境，对设备工作有影响的因素进行解决（例如：散热或灰尘所引起的设备工作异常）。</w:t>
            </w:r>
          </w:p>
        </w:tc>
      </w:tr>
      <w:tr w14:paraId="1B13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384" w:type="pct"/>
            <w:vMerge w:val="restart"/>
            <w:tcBorders>
              <w:tl2br w:val="nil"/>
              <w:tr2bl w:val="nil"/>
            </w:tcBorders>
            <w:shd w:val="clear" w:color="auto" w:fill="FFFFFF"/>
            <w:vAlign w:val="center"/>
          </w:tcPr>
          <w:p w14:paraId="0C877B6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4</w:t>
            </w:r>
          </w:p>
        </w:tc>
        <w:tc>
          <w:tcPr>
            <w:tcW w:w="761" w:type="pct"/>
            <w:vMerge w:val="restart"/>
            <w:tcBorders>
              <w:tl2br w:val="nil"/>
              <w:tr2bl w:val="nil"/>
            </w:tcBorders>
            <w:shd w:val="clear" w:color="auto" w:fill="FFFFFF"/>
            <w:vAlign w:val="center"/>
          </w:tcPr>
          <w:p w14:paraId="65E0D72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监测测向软件</w:t>
            </w:r>
          </w:p>
        </w:tc>
        <w:tc>
          <w:tcPr>
            <w:tcW w:w="1431" w:type="pct"/>
            <w:vMerge w:val="restart"/>
            <w:tcBorders>
              <w:tl2br w:val="nil"/>
              <w:tr2bl w:val="nil"/>
            </w:tcBorders>
            <w:shd w:val="clear" w:color="auto" w:fill="FFFFFF"/>
            <w:vAlign w:val="center"/>
          </w:tcPr>
          <w:p w14:paraId="46FFA9D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启动监测测向软件检查</w:t>
            </w:r>
          </w:p>
        </w:tc>
        <w:tc>
          <w:tcPr>
            <w:tcW w:w="2421" w:type="pct"/>
            <w:tcBorders>
              <w:tl2br w:val="nil"/>
              <w:tr2bl w:val="nil"/>
            </w:tcBorders>
            <w:shd w:val="clear" w:color="auto" w:fill="FFFFFF"/>
            <w:vAlign w:val="center"/>
          </w:tcPr>
          <w:p w14:paraId="1B01407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检查服务端初始化是否正常，有无报错信息。</w:t>
            </w:r>
          </w:p>
        </w:tc>
      </w:tr>
      <w:tr w14:paraId="368A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5798904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6D17FFF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4897BE4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4A9F543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检查服务端的设备、天线及网络配置检查。</w:t>
            </w:r>
          </w:p>
        </w:tc>
      </w:tr>
      <w:tr w14:paraId="385B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78F95AC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070581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7B7D2F1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34D3D7A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检查测试程序、系统软件控制等是否正常。</w:t>
            </w:r>
          </w:p>
        </w:tc>
      </w:tr>
      <w:tr w14:paraId="0532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5ED479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7BD1DAF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57FCBE4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2CF79FA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检查客户端是否正常连接，配置信息是否正确。</w:t>
            </w:r>
          </w:p>
        </w:tc>
      </w:tr>
      <w:tr w14:paraId="5798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08DF102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627F974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14:paraId="72FEFF1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信号扫描检查</w:t>
            </w:r>
          </w:p>
        </w:tc>
        <w:tc>
          <w:tcPr>
            <w:tcW w:w="2421" w:type="pct"/>
            <w:tcBorders>
              <w:tl2br w:val="nil"/>
              <w:tr2bl w:val="nil"/>
            </w:tcBorders>
            <w:shd w:val="clear" w:color="auto" w:fill="FFFFFF"/>
            <w:vAlign w:val="center"/>
          </w:tcPr>
          <w:p w14:paraId="036A2A5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检查天线频段扫描功能是否正常，扫描信号电平是否正常。</w:t>
            </w:r>
          </w:p>
        </w:tc>
      </w:tr>
      <w:tr w14:paraId="36CB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4238269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61CDF5E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4EA309B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5C2F6AA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检查多段扫描功能是否正常。</w:t>
            </w:r>
          </w:p>
        </w:tc>
      </w:tr>
      <w:tr w14:paraId="3EED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3385E61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0F93B4F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2BC40B2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0AEDA1E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检查FSCAN、PSCAN、MSCAN扫描功能是否正常。</w:t>
            </w:r>
          </w:p>
        </w:tc>
      </w:tr>
      <w:tr w14:paraId="3807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682489C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18A27FD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14:paraId="01E5D8A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单频测量检查</w:t>
            </w:r>
          </w:p>
        </w:tc>
        <w:tc>
          <w:tcPr>
            <w:tcW w:w="2421" w:type="pct"/>
            <w:tcBorders>
              <w:tl2br w:val="nil"/>
              <w:tr2bl w:val="nil"/>
            </w:tcBorders>
            <w:shd w:val="clear" w:color="auto" w:fill="FFFFFF"/>
            <w:vAlign w:val="center"/>
          </w:tcPr>
          <w:p w14:paraId="150C5A0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对频率、滤波带宽、频谱带宽等各参数进行设置，并测量，检查测量结果是否正常。</w:t>
            </w:r>
          </w:p>
        </w:tc>
      </w:tr>
      <w:tr w14:paraId="1554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37243C2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62A6867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586D40C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6331A0D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检查声音解调是否正常。</w:t>
            </w:r>
          </w:p>
        </w:tc>
      </w:tr>
      <w:tr w14:paraId="66DC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58D1B77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61B40E3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14:paraId="019B606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示向度测量检查</w:t>
            </w:r>
          </w:p>
        </w:tc>
        <w:tc>
          <w:tcPr>
            <w:tcW w:w="2421" w:type="pct"/>
            <w:tcBorders>
              <w:tl2br w:val="nil"/>
              <w:tr2bl w:val="nil"/>
            </w:tcBorders>
            <w:shd w:val="clear" w:color="auto" w:fill="FFFFFF"/>
            <w:vAlign w:val="center"/>
          </w:tcPr>
          <w:p w14:paraId="084C7E8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设置不同频率、参数进行示向度测量，并检查测量结果是否正常。</w:t>
            </w:r>
          </w:p>
        </w:tc>
      </w:tr>
      <w:tr w14:paraId="46B9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63F0610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0EBECB0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1D896E0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310C30E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结合电子地图进行示向度测量显示。（若有）</w:t>
            </w:r>
          </w:p>
        </w:tc>
      </w:tr>
      <w:tr w14:paraId="1D8C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36ABC2A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CFA8BA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14:paraId="56BDA12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电子地图检查（若有）</w:t>
            </w:r>
          </w:p>
        </w:tc>
        <w:tc>
          <w:tcPr>
            <w:tcW w:w="2421" w:type="pct"/>
            <w:tcBorders>
              <w:tl2br w:val="nil"/>
              <w:tr2bl w:val="nil"/>
            </w:tcBorders>
            <w:shd w:val="clear" w:color="auto" w:fill="FFFFFF"/>
            <w:vAlign w:val="center"/>
          </w:tcPr>
          <w:p w14:paraId="02AB181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检查地图是否正确打开，台站图标是否定位正确。</w:t>
            </w:r>
          </w:p>
        </w:tc>
      </w:tr>
      <w:tr w14:paraId="2924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5A4A7C0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82E8BE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751808D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561F517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检查图层是否显示正确、地图工具按钮功能是否正常。</w:t>
            </w:r>
          </w:p>
        </w:tc>
      </w:tr>
      <w:tr w14:paraId="211D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04AC499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23398B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14:paraId="6BA2C1D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数据记录及管理检查</w:t>
            </w:r>
          </w:p>
        </w:tc>
        <w:tc>
          <w:tcPr>
            <w:tcW w:w="2421" w:type="pct"/>
            <w:tcBorders>
              <w:tl2br w:val="nil"/>
              <w:tr2bl w:val="nil"/>
            </w:tcBorders>
            <w:shd w:val="clear" w:color="auto" w:fill="FFFFFF"/>
            <w:vAlign w:val="center"/>
          </w:tcPr>
          <w:p w14:paraId="1922117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检查测量数据的记录、查询回放功能测试。</w:t>
            </w:r>
          </w:p>
        </w:tc>
      </w:tr>
      <w:tr w14:paraId="077F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29B5013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FD278F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4E0B496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5A2EE9C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信号录音功能测试。</w:t>
            </w:r>
          </w:p>
        </w:tc>
      </w:tr>
      <w:tr w14:paraId="7742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4A9852E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04E4C21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6FC9DD7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2FA717E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监测数据存储功能检查。</w:t>
            </w:r>
          </w:p>
        </w:tc>
      </w:tr>
      <w:tr w14:paraId="42AA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39DEF90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0A557FA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49A4B4F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1A8647B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月报功能检查。</w:t>
            </w:r>
          </w:p>
        </w:tc>
      </w:tr>
      <w:tr w14:paraId="2C99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72182F2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5</w:t>
            </w:r>
          </w:p>
        </w:tc>
        <w:tc>
          <w:tcPr>
            <w:tcW w:w="761" w:type="pct"/>
            <w:vMerge w:val="restart"/>
            <w:tcBorders>
              <w:tl2br w:val="nil"/>
              <w:tr2bl w:val="nil"/>
            </w:tcBorders>
            <w:shd w:val="clear" w:color="auto" w:fill="FFFFFF"/>
            <w:vAlign w:val="center"/>
          </w:tcPr>
          <w:p w14:paraId="78F04E2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控制系统</w:t>
            </w:r>
          </w:p>
        </w:tc>
        <w:tc>
          <w:tcPr>
            <w:tcW w:w="1431" w:type="pct"/>
            <w:tcBorders>
              <w:tl2br w:val="nil"/>
              <w:tr2bl w:val="nil"/>
            </w:tcBorders>
            <w:shd w:val="clear" w:color="auto" w:fill="FFFFFF"/>
            <w:vAlign w:val="center"/>
          </w:tcPr>
          <w:p w14:paraId="201F54C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控制电脑硬件、操作系统检查</w:t>
            </w:r>
          </w:p>
        </w:tc>
        <w:tc>
          <w:tcPr>
            <w:tcW w:w="2421" w:type="pct"/>
            <w:tcBorders>
              <w:tl2br w:val="nil"/>
              <w:tr2bl w:val="nil"/>
            </w:tcBorders>
            <w:shd w:val="clear" w:color="auto" w:fill="FFFFFF"/>
            <w:vAlign w:val="center"/>
          </w:tcPr>
          <w:p w14:paraId="4F54FA0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控制电脑硬件、外观和操作系统正常。</w:t>
            </w:r>
          </w:p>
        </w:tc>
      </w:tr>
      <w:tr w14:paraId="0AB5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4B2A9F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DFA29D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6FB1EFC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系统安全检查</w:t>
            </w:r>
          </w:p>
        </w:tc>
        <w:tc>
          <w:tcPr>
            <w:tcW w:w="2421" w:type="pct"/>
            <w:tcBorders>
              <w:tl2br w:val="nil"/>
              <w:tr2bl w:val="nil"/>
            </w:tcBorders>
            <w:shd w:val="clear" w:color="auto" w:fill="FFFFFF"/>
            <w:vAlign w:val="center"/>
          </w:tcPr>
          <w:p w14:paraId="3DCE6AD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对系统进行安全测试，对其存在的安全漏洞进行修补，防止病毒的侵入。</w:t>
            </w:r>
          </w:p>
        </w:tc>
      </w:tr>
      <w:tr w14:paraId="73EC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1EA06FF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2E46DC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1F46E30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软件检查</w:t>
            </w:r>
          </w:p>
        </w:tc>
        <w:tc>
          <w:tcPr>
            <w:tcW w:w="2421" w:type="pct"/>
            <w:tcBorders>
              <w:tl2br w:val="nil"/>
              <w:tr2bl w:val="nil"/>
            </w:tcBorders>
            <w:shd w:val="clear" w:color="auto" w:fill="FFFFFF"/>
            <w:vAlign w:val="center"/>
          </w:tcPr>
          <w:p w14:paraId="7E9BED9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确定控制系统内部软件工作是否正常，若异常及时对其进行故障判断解决。</w:t>
            </w:r>
          </w:p>
        </w:tc>
      </w:tr>
      <w:tr w14:paraId="5E11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23C4153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11AE71A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6821411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系统备份检查</w:t>
            </w:r>
          </w:p>
        </w:tc>
        <w:tc>
          <w:tcPr>
            <w:tcW w:w="2421" w:type="pct"/>
            <w:tcBorders>
              <w:tl2br w:val="nil"/>
              <w:tr2bl w:val="nil"/>
            </w:tcBorders>
            <w:shd w:val="clear" w:color="auto" w:fill="FFFFFF"/>
            <w:vAlign w:val="center"/>
          </w:tcPr>
          <w:p w14:paraId="54DC46B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对系统进行备份，以便在发生灾难性故障时能够及时有效的恢复系统。</w:t>
            </w:r>
          </w:p>
        </w:tc>
      </w:tr>
      <w:tr w14:paraId="0C47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7D3464A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6</w:t>
            </w:r>
          </w:p>
        </w:tc>
        <w:tc>
          <w:tcPr>
            <w:tcW w:w="761" w:type="pct"/>
            <w:vMerge w:val="restart"/>
            <w:tcBorders>
              <w:tl2br w:val="nil"/>
              <w:tr2bl w:val="nil"/>
            </w:tcBorders>
            <w:shd w:val="clear" w:color="auto" w:fill="FFFFFF"/>
            <w:vAlign w:val="center"/>
          </w:tcPr>
          <w:p w14:paraId="2874EE9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网络系统</w:t>
            </w:r>
          </w:p>
        </w:tc>
        <w:tc>
          <w:tcPr>
            <w:tcW w:w="1431" w:type="pct"/>
            <w:tcBorders>
              <w:tl2br w:val="nil"/>
              <w:tr2bl w:val="nil"/>
            </w:tcBorders>
            <w:shd w:val="clear" w:color="auto" w:fill="FFFFFF"/>
            <w:vAlign w:val="center"/>
          </w:tcPr>
          <w:p w14:paraId="461F7FE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路由器硬件检查</w:t>
            </w:r>
          </w:p>
        </w:tc>
        <w:tc>
          <w:tcPr>
            <w:tcW w:w="2421" w:type="pct"/>
            <w:tcBorders>
              <w:tl2br w:val="nil"/>
              <w:tr2bl w:val="nil"/>
            </w:tcBorders>
            <w:shd w:val="clear" w:color="auto" w:fill="FFFFFF"/>
            <w:vAlign w:val="center"/>
          </w:tcPr>
          <w:p w14:paraId="796FC77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检查路由器硬件，根据具体的硬件环境确定其工作状态。</w:t>
            </w:r>
          </w:p>
        </w:tc>
      </w:tr>
      <w:tr w14:paraId="20F8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0CF73E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720EF7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3E63E04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路由器连通性、安全性检查</w:t>
            </w:r>
          </w:p>
        </w:tc>
        <w:tc>
          <w:tcPr>
            <w:tcW w:w="2421" w:type="pct"/>
            <w:tcBorders>
              <w:tl2br w:val="nil"/>
              <w:tr2bl w:val="nil"/>
            </w:tcBorders>
            <w:shd w:val="clear" w:color="auto" w:fill="FFFFFF"/>
            <w:vAlign w:val="center"/>
          </w:tcPr>
          <w:p w14:paraId="69DD459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对路由器进行网络联通性和安全测试，发现并对所发现的安全漏洞进行处理。</w:t>
            </w:r>
          </w:p>
        </w:tc>
      </w:tr>
      <w:tr w14:paraId="4C2C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B55612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64DDF3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1E5651F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交换机硬件检查</w:t>
            </w:r>
          </w:p>
        </w:tc>
        <w:tc>
          <w:tcPr>
            <w:tcW w:w="2421" w:type="pct"/>
            <w:tcBorders>
              <w:tl2br w:val="nil"/>
              <w:tr2bl w:val="nil"/>
            </w:tcBorders>
            <w:shd w:val="clear" w:color="auto" w:fill="FFFFFF"/>
            <w:vAlign w:val="center"/>
          </w:tcPr>
          <w:p w14:paraId="5F660EB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对交换机进行硬件检查，确定其工作状态，及时发现并解决出现的硬件故障。</w:t>
            </w:r>
          </w:p>
        </w:tc>
      </w:tr>
      <w:tr w14:paraId="34DB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87120B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A3F8FC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714DA09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交换机连通性检查</w:t>
            </w:r>
          </w:p>
        </w:tc>
        <w:tc>
          <w:tcPr>
            <w:tcW w:w="2421" w:type="pct"/>
            <w:tcBorders>
              <w:tl2br w:val="nil"/>
              <w:tr2bl w:val="nil"/>
            </w:tcBorders>
            <w:shd w:val="clear" w:color="auto" w:fill="FFFFFF"/>
            <w:vAlign w:val="center"/>
          </w:tcPr>
          <w:p w14:paraId="03CD698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对交换机进行数据包交换测试，确定其各端口数据交换的联通性。由计算机端向交换机及其他联网设备发送测试数据包20个，查看是否丢包，返回时间是否小于50ms。</w:t>
            </w:r>
          </w:p>
        </w:tc>
      </w:tr>
      <w:tr w14:paraId="0248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4E0472F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7</w:t>
            </w:r>
          </w:p>
        </w:tc>
        <w:tc>
          <w:tcPr>
            <w:tcW w:w="761" w:type="pct"/>
            <w:vMerge w:val="restart"/>
            <w:tcBorders>
              <w:tl2br w:val="nil"/>
              <w:tr2bl w:val="nil"/>
            </w:tcBorders>
            <w:shd w:val="clear" w:color="auto" w:fill="FFFFFF"/>
            <w:vAlign w:val="center"/>
          </w:tcPr>
          <w:p w14:paraId="55D133F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电源系统</w:t>
            </w:r>
          </w:p>
        </w:tc>
        <w:tc>
          <w:tcPr>
            <w:tcW w:w="1431" w:type="pct"/>
            <w:tcBorders>
              <w:tl2br w:val="nil"/>
              <w:tr2bl w:val="nil"/>
            </w:tcBorders>
            <w:shd w:val="clear" w:color="auto" w:fill="FFFFFF"/>
            <w:vAlign w:val="center"/>
          </w:tcPr>
          <w:p w14:paraId="0032A20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稳压电源检查</w:t>
            </w:r>
          </w:p>
        </w:tc>
        <w:tc>
          <w:tcPr>
            <w:tcW w:w="2421" w:type="pct"/>
            <w:tcBorders>
              <w:tl2br w:val="nil"/>
              <w:tr2bl w:val="nil"/>
            </w:tcBorders>
            <w:shd w:val="clear" w:color="auto" w:fill="FFFFFF"/>
            <w:vAlign w:val="center"/>
          </w:tcPr>
          <w:p w14:paraId="40FF132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稳压电源状态指示灯显示正确，输出电压稳定。</w:t>
            </w:r>
          </w:p>
        </w:tc>
      </w:tr>
      <w:tr w14:paraId="0370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17F774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BB63C9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14:paraId="72ECAA6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电池状态检查</w:t>
            </w:r>
          </w:p>
        </w:tc>
        <w:tc>
          <w:tcPr>
            <w:tcW w:w="2421" w:type="pct"/>
            <w:tcBorders>
              <w:tl2br w:val="nil"/>
              <w:tr2bl w:val="nil"/>
            </w:tcBorders>
            <w:shd w:val="clear" w:color="auto" w:fill="FFFFFF"/>
            <w:vAlign w:val="center"/>
          </w:tcPr>
          <w:p w14:paraId="76A3A91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蓄电池是否能正常进行充、放电。</w:t>
            </w:r>
          </w:p>
        </w:tc>
      </w:tr>
      <w:tr w14:paraId="074B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99C61E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020F1E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20E3D63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404460A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蓄电池连接处有无松动、腐蚀现象。</w:t>
            </w:r>
          </w:p>
        </w:tc>
      </w:tr>
      <w:tr w14:paraId="0CFF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03262A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F0A542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294E27C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0936F79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蓄电池外观是否完好、无外壳变形和渗漏。</w:t>
            </w:r>
          </w:p>
        </w:tc>
      </w:tr>
      <w:tr w14:paraId="2C98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F980AB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4C5D7E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37C801D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1D06F2B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蓄电池的极柱、安全阀周围是否有酸雾溢出。</w:t>
            </w:r>
          </w:p>
        </w:tc>
      </w:tr>
      <w:tr w14:paraId="267E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58CF4AA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35BB0C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19A1B7C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UPS外观检查</w:t>
            </w:r>
          </w:p>
        </w:tc>
        <w:tc>
          <w:tcPr>
            <w:tcW w:w="2421" w:type="pct"/>
            <w:tcBorders>
              <w:tl2br w:val="nil"/>
              <w:tr2bl w:val="nil"/>
            </w:tcBorders>
            <w:shd w:val="clear" w:color="auto" w:fill="FFFFFF"/>
            <w:vAlign w:val="center"/>
          </w:tcPr>
          <w:p w14:paraId="0B70802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UPS状态切换正常，状态指示灯显示正确。</w:t>
            </w:r>
          </w:p>
        </w:tc>
      </w:tr>
      <w:tr w14:paraId="7F2B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424BD5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FAED48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385EA4C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UPS功能检查</w:t>
            </w:r>
          </w:p>
        </w:tc>
        <w:tc>
          <w:tcPr>
            <w:tcW w:w="2421" w:type="pct"/>
            <w:tcBorders>
              <w:tl2br w:val="nil"/>
              <w:tr2bl w:val="nil"/>
            </w:tcBorders>
            <w:shd w:val="clear" w:color="auto" w:fill="FFFFFF"/>
            <w:vAlign w:val="center"/>
          </w:tcPr>
          <w:p w14:paraId="2FD820A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用电源管理和诊断软件检测UPS运行正常、参数设置正确。</w:t>
            </w:r>
          </w:p>
        </w:tc>
      </w:tr>
      <w:tr w14:paraId="6F6F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2D6272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1DEFF61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6F6F541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供电电压测量</w:t>
            </w:r>
          </w:p>
        </w:tc>
        <w:tc>
          <w:tcPr>
            <w:tcW w:w="2421" w:type="pct"/>
            <w:tcBorders>
              <w:tl2br w:val="nil"/>
              <w:tr2bl w:val="nil"/>
            </w:tcBorders>
            <w:shd w:val="clear" w:color="auto" w:fill="FFFFFF"/>
            <w:vAlign w:val="center"/>
          </w:tcPr>
          <w:p w14:paraId="570016E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分别测量市电电压，稳压电源输出电压、UPS输入输出电压、蓄电池组电压，必要时测量蓄电池单体电压。</w:t>
            </w:r>
          </w:p>
        </w:tc>
      </w:tr>
      <w:tr w14:paraId="374A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04C7B6B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8</w:t>
            </w:r>
          </w:p>
        </w:tc>
        <w:tc>
          <w:tcPr>
            <w:tcW w:w="761" w:type="pct"/>
            <w:vMerge w:val="restart"/>
            <w:tcBorders>
              <w:tl2br w:val="nil"/>
              <w:tr2bl w:val="nil"/>
            </w:tcBorders>
            <w:shd w:val="clear" w:color="auto" w:fill="FFFFFF"/>
            <w:vAlign w:val="center"/>
          </w:tcPr>
          <w:p w14:paraId="09FE90F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设备连接</w:t>
            </w:r>
          </w:p>
        </w:tc>
        <w:tc>
          <w:tcPr>
            <w:tcW w:w="1431" w:type="pct"/>
            <w:tcBorders>
              <w:tl2br w:val="nil"/>
              <w:tr2bl w:val="nil"/>
            </w:tcBorders>
            <w:shd w:val="clear" w:color="auto" w:fill="FFFFFF"/>
            <w:vAlign w:val="center"/>
          </w:tcPr>
          <w:p w14:paraId="2A3605E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电源连接线检查</w:t>
            </w:r>
          </w:p>
        </w:tc>
        <w:tc>
          <w:tcPr>
            <w:tcW w:w="2421" w:type="pct"/>
            <w:tcBorders>
              <w:tl2br w:val="nil"/>
              <w:tr2bl w:val="nil"/>
            </w:tcBorders>
            <w:shd w:val="clear" w:color="auto" w:fill="FFFFFF"/>
            <w:vAlign w:val="center"/>
          </w:tcPr>
          <w:p w14:paraId="06DA2EE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设备电源连接线连接固定正常。</w:t>
            </w:r>
          </w:p>
        </w:tc>
      </w:tr>
      <w:tr w14:paraId="1A50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A00D3A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1F2C281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0383DB2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数据连接线检查</w:t>
            </w:r>
          </w:p>
        </w:tc>
        <w:tc>
          <w:tcPr>
            <w:tcW w:w="2421" w:type="pct"/>
            <w:tcBorders>
              <w:tl2br w:val="nil"/>
              <w:tr2bl w:val="nil"/>
            </w:tcBorders>
            <w:shd w:val="clear" w:color="auto" w:fill="FFFFFF"/>
            <w:vAlign w:val="center"/>
          </w:tcPr>
          <w:p w14:paraId="2251EC3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设备数据连接线连接固定正常。</w:t>
            </w:r>
          </w:p>
        </w:tc>
      </w:tr>
      <w:tr w14:paraId="15DF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DD20F1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1B9FBE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58D1038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射频线检查</w:t>
            </w:r>
          </w:p>
        </w:tc>
        <w:tc>
          <w:tcPr>
            <w:tcW w:w="2421" w:type="pct"/>
            <w:tcBorders>
              <w:tl2br w:val="nil"/>
              <w:tr2bl w:val="nil"/>
            </w:tcBorders>
            <w:shd w:val="clear" w:color="auto" w:fill="FFFFFF"/>
            <w:vAlign w:val="center"/>
          </w:tcPr>
          <w:p w14:paraId="7F1BC6F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天馈射频连接线连接固定正常。</w:t>
            </w:r>
          </w:p>
        </w:tc>
      </w:tr>
      <w:tr w14:paraId="61B9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C8918C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2E1417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07A64D3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控制线检查</w:t>
            </w:r>
          </w:p>
        </w:tc>
        <w:tc>
          <w:tcPr>
            <w:tcW w:w="2421" w:type="pct"/>
            <w:tcBorders>
              <w:tl2br w:val="nil"/>
              <w:tr2bl w:val="nil"/>
            </w:tcBorders>
            <w:shd w:val="clear" w:color="auto" w:fill="FFFFFF"/>
            <w:vAlign w:val="center"/>
          </w:tcPr>
          <w:p w14:paraId="5D385F2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天馈控制连接线连接固定正常。</w:t>
            </w:r>
          </w:p>
        </w:tc>
      </w:tr>
      <w:tr w14:paraId="0C40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84" w:type="pct"/>
            <w:vMerge w:val="restart"/>
            <w:tcBorders>
              <w:tl2br w:val="nil"/>
              <w:tr2bl w:val="nil"/>
            </w:tcBorders>
            <w:shd w:val="clear" w:color="auto" w:fill="FFFFFF"/>
            <w:vAlign w:val="center"/>
          </w:tcPr>
          <w:p w14:paraId="40971DD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9</w:t>
            </w:r>
          </w:p>
        </w:tc>
        <w:tc>
          <w:tcPr>
            <w:tcW w:w="761" w:type="pct"/>
            <w:vMerge w:val="restart"/>
            <w:tcBorders>
              <w:tl2br w:val="nil"/>
              <w:tr2bl w:val="nil"/>
            </w:tcBorders>
            <w:shd w:val="clear" w:color="auto" w:fill="FFFFFF"/>
            <w:vAlign w:val="center"/>
          </w:tcPr>
          <w:p w14:paraId="492D96D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遥控系统</w:t>
            </w:r>
          </w:p>
        </w:tc>
        <w:tc>
          <w:tcPr>
            <w:tcW w:w="1431" w:type="pct"/>
            <w:vMerge w:val="restart"/>
            <w:tcBorders>
              <w:tl2br w:val="nil"/>
              <w:tr2bl w:val="nil"/>
            </w:tcBorders>
            <w:shd w:val="clear" w:color="auto" w:fill="FFFFFF"/>
            <w:vAlign w:val="center"/>
          </w:tcPr>
          <w:p w14:paraId="090B999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遥控系统检查</w:t>
            </w:r>
          </w:p>
        </w:tc>
        <w:tc>
          <w:tcPr>
            <w:tcW w:w="2421" w:type="pct"/>
            <w:tcBorders>
              <w:tl2br w:val="nil"/>
              <w:tr2bl w:val="nil"/>
            </w:tcBorders>
            <w:shd w:val="clear" w:color="auto" w:fill="FFFFFF"/>
            <w:vAlign w:val="center"/>
          </w:tcPr>
          <w:p w14:paraId="5402CD9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设备基本状态检查。</w:t>
            </w:r>
          </w:p>
        </w:tc>
      </w:tr>
      <w:tr w14:paraId="17C9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84" w:type="pct"/>
            <w:vMerge w:val="continue"/>
            <w:tcBorders>
              <w:tl2br w:val="nil"/>
              <w:tr2bl w:val="nil"/>
            </w:tcBorders>
            <w:shd w:val="clear" w:color="auto" w:fill="FFFFFF"/>
            <w:vAlign w:val="center"/>
          </w:tcPr>
          <w:p w14:paraId="4661270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271A56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2509FEF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10CC3CD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设备本地开关机测试。</w:t>
            </w:r>
          </w:p>
        </w:tc>
      </w:tr>
      <w:tr w14:paraId="167A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84" w:type="pct"/>
            <w:vMerge w:val="continue"/>
            <w:tcBorders>
              <w:tl2br w:val="nil"/>
              <w:tr2bl w:val="nil"/>
            </w:tcBorders>
            <w:shd w:val="clear" w:color="auto" w:fill="FFFFFF"/>
            <w:vAlign w:val="center"/>
          </w:tcPr>
          <w:p w14:paraId="7A5F013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1A85A64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5CE9D44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681F67B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设备远程唤醒、关机测试。</w:t>
            </w:r>
          </w:p>
        </w:tc>
      </w:tr>
      <w:tr w14:paraId="4EF9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5E98F0F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10</w:t>
            </w:r>
          </w:p>
        </w:tc>
        <w:tc>
          <w:tcPr>
            <w:tcW w:w="761" w:type="pct"/>
            <w:vMerge w:val="restart"/>
            <w:tcBorders>
              <w:tl2br w:val="nil"/>
              <w:tr2bl w:val="nil"/>
            </w:tcBorders>
            <w:shd w:val="clear" w:color="auto" w:fill="FFFFFF"/>
            <w:vAlign w:val="center"/>
          </w:tcPr>
          <w:p w14:paraId="109083C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视频图像监视系统</w:t>
            </w:r>
          </w:p>
        </w:tc>
        <w:tc>
          <w:tcPr>
            <w:tcW w:w="1431" w:type="pct"/>
            <w:tcBorders>
              <w:tl2br w:val="nil"/>
              <w:tr2bl w:val="nil"/>
            </w:tcBorders>
            <w:shd w:val="clear" w:color="auto" w:fill="FFFFFF"/>
            <w:vAlign w:val="center"/>
          </w:tcPr>
          <w:p w14:paraId="55FFA5D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视频服务器功能检查</w:t>
            </w:r>
          </w:p>
        </w:tc>
        <w:tc>
          <w:tcPr>
            <w:tcW w:w="2421" w:type="pct"/>
            <w:tcBorders>
              <w:tl2br w:val="nil"/>
              <w:tr2bl w:val="nil"/>
            </w:tcBorders>
            <w:shd w:val="clear" w:color="auto" w:fill="FFFFFF"/>
            <w:vAlign w:val="center"/>
          </w:tcPr>
          <w:p w14:paraId="072D2E2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设备基本状态检查。</w:t>
            </w:r>
          </w:p>
        </w:tc>
      </w:tr>
      <w:tr w14:paraId="3620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1123DB6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5B07D4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14:paraId="2E23DEB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摄像机&amp;云台功能检查</w:t>
            </w:r>
          </w:p>
        </w:tc>
        <w:tc>
          <w:tcPr>
            <w:tcW w:w="2421" w:type="pct"/>
            <w:tcBorders>
              <w:tl2br w:val="nil"/>
              <w:tr2bl w:val="nil"/>
            </w:tcBorders>
            <w:shd w:val="clear" w:color="auto" w:fill="FFFFFF"/>
            <w:vAlign w:val="center"/>
          </w:tcPr>
          <w:p w14:paraId="5139F30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设备基本状态检查。</w:t>
            </w:r>
          </w:p>
        </w:tc>
      </w:tr>
      <w:tr w14:paraId="5C97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2BDD6ED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53A62B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6CDE95A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1F66960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检查设备供电是否为长供电（UPS供电）。</w:t>
            </w:r>
          </w:p>
        </w:tc>
      </w:tr>
      <w:tr w14:paraId="1B8E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43BBCF2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FC0EA5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652339A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7FB1929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监控图像测试（截图）。</w:t>
            </w:r>
          </w:p>
        </w:tc>
      </w:tr>
      <w:tr w14:paraId="1F26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01884C4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761" w:type="pct"/>
            <w:vMerge w:val="restart"/>
            <w:tcBorders>
              <w:tl2br w:val="nil"/>
              <w:tr2bl w:val="nil"/>
            </w:tcBorders>
            <w:shd w:val="clear" w:color="auto" w:fill="FFFFFF"/>
            <w:vAlign w:val="center"/>
          </w:tcPr>
          <w:p w14:paraId="168FDCA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防雷接地系统</w:t>
            </w:r>
          </w:p>
        </w:tc>
        <w:tc>
          <w:tcPr>
            <w:tcW w:w="1431" w:type="pct"/>
            <w:vMerge w:val="restart"/>
            <w:tcBorders>
              <w:tl2br w:val="nil"/>
              <w:tr2bl w:val="nil"/>
            </w:tcBorders>
            <w:shd w:val="clear" w:color="auto" w:fill="FFFFFF"/>
            <w:vAlign w:val="center"/>
          </w:tcPr>
          <w:p w14:paraId="4B2FDA6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机房、 供电、 设备、网络、 天线、 铁塔的防雷接地检测</w:t>
            </w:r>
          </w:p>
        </w:tc>
        <w:tc>
          <w:tcPr>
            <w:tcW w:w="2421" w:type="pct"/>
            <w:tcBorders>
              <w:tl2br w:val="nil"/>
              <w:tr2bl w:val="nil"/>
            </w:tcBorders>
            <w:shd w:val="clear" w:color="auto" w:fill="FFFFFF"/>
            <w:vAlign w:val="center"/>
          </w:tcPr>
          <w:p w14:paraId="219135E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馈线防雷器性能是否良好，芯线未断路。</w:t>
            </w:r>
          </w:p>
        </w:tc>
      </w:tr>
      <w:tr w14:paraId="5C07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D5AB75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76977CE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05C8EF8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0A27107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防雷器外壳未击穿短路接地，无跳火现象。</w:t>
            </w:r>
          </w:p>
        </w:tc>
      </w:tr>
      <w:tr w14:paraId="1F1C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F8B5E9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66C4B0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3B750F6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70CD9B9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防雷器接地引线连接可靠，线径大小符合规定要求。</w:t>
            </w:r>
          </w:p>
        </w:tc>
      </w:tr>
      <w:tr w14:paraId="4B04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EA9A50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6B355C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134D86E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656EB9B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highlight w:val="none"/>
              </w:rPr>
              <w:t>防雷器接地电阻≤4Ω。</w:t>
            </w:r>
          </w:p>
        </w:tc>
      </w:tr>
      <w:tr w14:paraId="10BB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DBF461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EED2B5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7B18523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3A5599B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防雷是否符合要求及避雷针与引下线是否符合规定</w:t>
            </w:r>
          </w:p>
        </w:tc>
      </w:tr>
      <w:tr w14:paraId="0FC2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84" w:type="pct"/>
            <w:vMerge w:val="restart"/>
            <w:tcBorders>
              <w:tl2br w:val="nil"/>
              <w:tr2bl w:val="nil"/>
            </w:tcBorders>
            <w:shd w:val="clear" w:color="auto" w:fill="FFFFFF"/>
            <w:vAlign w:val="center"/>
          </w:tcPr>
          <w:p w14:paraId="020633A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761" w:type="pct"/>
            <w:vMerge w:val="restart"/>
            <w:tcBorders>
              <w:tl2br w:val="nil"/>
              <w:tr2bl w:val="nil"/>
            </w:tcBorders>
            <w:shd w:val="clear" w:color="auto" w:fill="FFFFFF"/>
            <w:vAlign w:val="center"/>
          </w:tcPr>
          <w:p w14:paraId="2C4DBB5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铁塔及支架</w:t>
            </w:r>
          </w:p>
        </w:tc>
        <w:tc>
          <w:tcPr>
            <w:tcW w:w="1431" w:type="pct"/>
            <w:vMerge w:val="restart"/>
            <w:tcBorders>
              <w:tl2br w:val="nil"/>
              <w:tr2bl w:val="nil"/>
            </w:tcBorders>
            <w:shd w:val="clear" w:color="auto" w:fill="FFFFFF"/>
            <w:vAlign w:val="center"/>
          </w:tcPr>
          <w:p w14:paraId="17CE5E6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铁塔及支架检查</w:t>
            </w:r>
          </w:p>
        </w:tc>
        <w:tc>
          <w:tcPr>
            <w:tcW w:w="2421" w:type="pct"/>
            <w:tcBorders>
              <w:tl2br w:val="nil"/>
              <w:tr2bl w:val="nil"/>
            </w:tcBorders>
            <w:shd w:val="clear" w:color="auto" w:fill="FFFFFF"/>
            <w:vAlign w:val="center"/>
          </w:tcPr>
          <w:p w14:paraId="10C03A0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铁塔基础数据和垂直度测量检查。</w:t>
            </w:r>
          </w:p>
        </w:tc>
      </w:tr>
      <w:tr w14:paraId="5C1C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84" w:type="pct"/>
            <w:vMerge w:val="continue"/>
            <w:tcBorders>
              <w:tl2br w:val="nil"/>
              <w:tr2bl w:val="nil"/>
            </w:tcBorders>
            <w:shd w:val="clear" w:color="auto" w:fill="FFFFFF"/>
            <w:vAlign w:val="center"/>
          </w:tcPr>
          <w:p w14:paraId="4D4CA56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B8F0BB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36A56BE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7CB7073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镀锌、螺栓、平台、构件、天线支架支臂、爬梯是否发生生锈松动或腐蚀情况检查。</w:t>
            </w:r>
          </w:p>
        </w:tc>
      </w:tr>
      <w:tr w14:paraId="5678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84" w:type="pct"/>
            <w:vMerge w:val="continue"/>
            <w:tcBorders>
              <w:tl2br w:val="nil"/>
              <w:tr2bl w:val="nil"/>
            </w:tcBorders>
            <w:shd w:val="clear" w:color="auto" w:fill="FFFFFF"/>
            <w:vAlign w:val="center"/>
          </w:tcPr>
          <w:p w14:paraId="7EC1908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B25B48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5518E2E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4A80432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周边环境杂物清理。</w:t>
            </w:r>
          </w:p>
        </w:tc>
      </w:tr>
      <w:tr w14:paraId="55E5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384" w:type="pct"/>
            <w:vMerge w:val="restart"/>
            <w:tcBorders>
              <w:tl2br w:val="nil"/>
              <w:tr2bl w:val="nil"/>
            </w:tcBorders>
            <w:shd w:val="clear" w:color="auto" w:fill="FFFFFF"/>
            <w:vAlign w:val="center"/>
          </w:tcPr>
          <w:p w14:paraId="401A6F6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761" w:type="pct"/>
            <w:vMerge w:val="restart"/>
            <w:tcBorders>
              <w:tl2br w:val="nil"/>
              <w:tr2bl w:val="nil"/>
            </w:tcBorders>
            <w:shd w:val="clear" w:color="auto" w:fill="FFFFFF"/>
            <w:vAlign w:val="center"/>
          </w:tcPr>
          <w:p w14:paraId="29A310B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环境监控系统</w:t>
            </w:r>
          </w:p>
        </w:tc>
        <w:tc>
          <w:tcPr>
            <w:tcW w:w="1431" w:type="pct"/>
            <w:tcBorders>
              <w:tl2br w:val="nil"/>
              <w:tr2bl w:val="nil"/>
            </w:tcBorders>
            <w:shd w:val="clear" w:color="auto" w:fill="FFFFFF"/>
            <w:vAlign w:val="center"/>
          </w:tcPr>
          <w:p w14:paraId="053AB14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门窗防盗检查</w:t>
            </w:r>
          </w:p>
        </w:tc>
        <w:tc>
          <w:tcPr>
            <w:tcW w:w="2421" w:type="pct"/>
            <w:tcBorders>
              <w:tl2br w:val="nil"/>
              <w:tr2bl w:val="nil"/>
            </w:tcBorders>
            <w:shd w:val="clear" w:color="auto" w:fill="FFFFFF"/>
            <w:vAlign w:val="center"/>
          </w:tcPr>
          <w:p w14:paraId="172CA1B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检查门窗是否完好，每次出入机房按规定关好门窗。</w:t>
            </w:r>
          </w:p>
        </w:tc>
      </w:tr>
      <w:tr w14:paraId="241E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540F70B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C76E15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709049B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温湿度检查</w:t>
            </w:r>
          </w:p>
        </w:tc>
        <w:tc>
          <w:tcPr>
            <w:tcW w:w="2421" w:type="pct"/>
            <w:tcBorders>
              <w:tl2br w:val="nil"/>
              <w:tr2bl w:val="nil"/>
            </w:tcBorders>
            <w:shd w:val="clear" w:color="auto" w:fill="FFFFFF"/>
            <w:vAlign w:val="center"/>
          </w:tcPr>
          <w:p w14:paraId="7013FB7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检查机房内温度湿度计正常工作，指标正常。</w:t>
            </w:r>
          </w:p>
        </w:tc>
      </w:tr>
      <w:tr w14:paraId="5AD0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272D01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2DC2E4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6F2EE51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消防检查</w:t>
            </w:r>
          </w:p>
        </w:tc>
        <w:tc>
          <w:tcPr>
            <w:tcW w:w="2421" w:type="pct"/>
            <w:tcBorders>
              <w:tl2br w:val="nil"/>
              <w:tr2bl w:val="nil"/>
            </w:tcBorders>
            <w:shd w:val="clear" w:color="auto" w:fill="FFFFFF"/>
            <w:vAlign w:val="center"/>
          </w:tcPr>
          <w:p w14:paraId="0F0D219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检查消防器材是否在检查时间范围内，检查室外消火栓系统、防排烟设施和灭火设施是否正常工作。</w:t>
            </w:r>
          </w:p>
        </w:tc>
      </w:tr>
      <w:tr w14:paraId="2C4C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A29F34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47512E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181168A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监控检查</w:t>
            </w:r>
          </w:p>
        </w:tc>
        <w:tc>
          <w:tcPr>
            <w:tcW w:w="2421" w:type="pct"/>
            <w:tcBorders>
              <w:tl2br w:val="nil"/>
              <w:tr2bl w:val="nil"/>
            </w:tcBorders>
            <w:shd w:val="clear" w:color="auto" w:fill="FFFFFF"/>
            <w:vAlign w:val="center"/>
          </w:tcPr>
          <w:p w14:paraId="568FBD1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检查监控是否正常工作，摄像头位置是否正常，影像存储是否正常。</w:t>
            </w:r>
          </w:p>
        </w:tc>
      </w:tr>
      <w:tr w14:paraId="229C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384" w:type="pct"/>
            <w:vMerge w:val="continue"/>
            <w:tcBorders>
              <w:tl2br w:val="nil"/>
              <w:tr2bl w:val="nil"/>
            </w:tcBorders>
            <w:shd w:val="clear" w:color="auto" w:fill="FFFFFF"/>
            <w:vAlign w:val="center"/>
          </w:tcPr>
          <w:p w14:paraId="1BF862D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128591E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55E0876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空调检查</w:t>
            </w:r>
          </w:p>
        </w:tc>
        <w:tc>
          <w:tcPr>
            <w:tcW w:w="2421" w:type="pct"/>
            <w:tcBorders>
              <w:tl2br w:val="nil"/>
              <w:tr2bl w:val="nil"/>
            </w:tcBorders>
            <w:shd w:val="clear" w:color="auto" w:fill="FFFFFF"/>
            <w:vAlign w:val="center"/>
          </w:tcPr>
          <w:p w14:paraId="55C6482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检查空调是否正常工作。空调风机、过滤网清洗，管道检查，温度设定。</w:t>
            </w:r>
          </w:p>
        </w:tc>
      </w:tr>
      <w:tr w14:paraId="542F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4D3F263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053FACB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14FB1E9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传感器检查</w:t>
            </w:r>
          </w:p>
        </w:tc>
        <w:tc>
          <w:tcPr>
            <w:tcW w:w="2421" w:type="pct"/>
            <w:tcBorders>
              <w:tl2br w:val="nil"/>
              <w:tr2bl w:val="nil"/>
            </w:tcBorders>
            <w:shd w:val="clear" w:color="auto" w:fill="FFFFFF"/>
            <w:vAlign w:val="center"/>
          </w:tcPr>
          <w:p w14:paraId="5A7EE76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红外线人体移动、门磁、烟感等传感器是否能够产生报警信息。</w:t>
            </w:r>
          </w:p>
        </w:tc>
      </w:tr>
      <w:tr w14:paraId="696D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3B0943F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283852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14:paraId="6509815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机房检查</w:t>
            </w:r>
          </w:p>
        </w:tc>
        <w:tc>
          <w:tcPr>
            <w:tcW w:w="2421" w:type="pct"/>
            <w:tcBorders>
              <w:tl2br w:val="nil"/>
              <w:tr2bl w:val="nil"/>
            </w:tcBorders>
            <w:shd w:val="clear" w:color="auto" w:fill="FFFFFF"/>
            <w:vAlign w:val="center"/>
          </w:tcPr>
          <w:p w14:paraId="51CE14B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检查机柜安全可靠牢固，检查机柜散热风扇运行情况正常。</w:t>
            </w:r>
          </w:p>
        </w:tc>
      </w:tr>
      <w:tr w14:paraId="66D4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2888425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76F7BB6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16350B3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6CC1FE1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对设备进行除尘，对机柜进行清洁维护。</w:t>
            </w:r>
          </w:p>
        </w:tc>
      </w:tr>
      <w:tr w14:paraId="5263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1211511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147C7D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117BBC5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6B0454E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对机房环境卫生进行打扫，机柜内线缆连接检查整理，机房外围安全检查和机房防水检查，移除杂物和易燃易爆物品，砍青修枝，排除隐患。</w:t>
            </w:r>
          </w:p>
        </w:tc>
      </w:tr>
      <w:tr w14:paraId="73D7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7B68308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74B6EC6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6844963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5E21498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机房墙体、屋顶是否存在漏水、渗水和裂缝；机房门、馈线窗、空调孔、排气孔是否封堵严密。</w:t>
            </w:r>
          </w:p>
        </w:tc>
      </w:tr>
      <w:tr w14:paraId="664C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5930722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777AE7D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07C38AC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66E64BB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现场记录温湿度情况，与监控设备显示值进行比对。</w:t>
            </w:r>
          </w:p>
        </w:tc>
      </w:tr>
      <w:tr w14:paraId="086D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23C8A19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7AEF682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7D28869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558C1F7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检查照明设备是否正常 。</w:t>
            </w:r>
          </w:p>
        </w:tc>
      </w:tr>
    </w:tbl>
    <w:p w14:paraId="18641D80">
      <w:pPr>
        <w:numPr>
          <w:ilvl w:val="0"/>
          <w:numId w:val="2"/>
        </w:numPr>
        <w:ind w:leftChars="0" w:firstLine="640" w:firstLineChars="200"/>
        <w:rPr>
          <w:rFonts w:hint="eastAsia" w:ascii="仿宋_GB2312" w:hAnsi="宋体" w:eastAsia="仿宋_GB2312"/>
          <w:sz w:val="32"/>
          <w:lang w:val="en-US" w:eastAsia="zh-CN"/>
        </w:rPr>
      </w:pPr>
      <w:r>
        <w:rPr>
          <w:rFonts w:hint="eastAsia" w:ascii="仿宋_GB2312" w:hAnsi="宋体" w:eastAsia="仿宋_GB2312"/>
          <w:sz w:val="32"/>
          <w:lang w:val="en-US" w:eastAsia="zh-CN"/>
        </w:rPr>
        <w:t>移动监测站</w:t>
      </w:r>
    </w:p>
    <w:p w14:paraId="1485AF31">
      <w:pPr>
        <w:pStyle w:val="2"/>
        <w:numPr>
          <w:ilvl w:val="0"/>
          <w:numId w:val="0"/>
        </w:numPr>
        <w:ind w:firstLine="640" w:firstLineChars="200"/>
        <w:rPr>
          <w:rFonts w:hint="default"/>
          <w:lang w:val="en-US" w:eastAsia="zh-CN"/>
        </w:rPr>
      </w:pPr>
      <w:r>
        <w:rPr>
          <w:rFonts w:hint="eastAsia" w:ascii="仿宋_GB2312" w:hAnsi="宋体" w:eastAsia="仿宋_GB2312"/>
          <w:sz w:val="32"/>
          <w:lang w:eastAsia="zh-CN"/>
        </w:rPr>
        <w:t>现场巡检内容具体如下（巡检内容应根据国家和省有关监测设施巡检规范和要求实时更新调整）：</w:t>
      </w:r>
    </w:p>
    <w:tbl>
      <w:tblPr>
        <w:tblStyle w:val="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02"/>
        <w:gridCol w:w="1312"/>
        <w:gridCol w:w="2174"/>
        <w:gridCol w:w="4225"/>
      </w:tblGrid>
      <w:tr w14:paraId="3044A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tcBorders>
              <w:tl2br w:val="nil"/>
              <w:tr2bl w:val="nil"/>
            </w:tcBorders>
            <w:shd w:val="clear" w:color="auto" w:fill="FFFFFF"/>
            <w:vAlign w:val="center"/>
          </w:tcPr>
          <w:p w14:paraId="5048B4D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序号</w:t>
            </w:r>
          </w:p>
        </w:tc>
        <w:tc>
          <w:tcPr>
            <w:tcW w:w="789" w:type="pct"/>
            <w:tcBorders>
              <w:tl2br w:val="nil"/>
              <w:tr2bl w:val="nil"/>
            </w:tcBorders>
            <w:shd w:val="clear" w:color="auto" w:fill="FFFFFF"/>
            <w:vAlign w:val="center"/>
          </w:tcPr>
          <w:p w14:paraId="5A467BF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巡检设备</w:t>
            </w:r>
          </w:p>
        </w:tc>
        <w:tc>
          <w:tcPr>
            <w:tcW w:w="1307" w:type="pct"/>
            <w:tcBorders>
              <w:tl2br w:val="nil"/>
              <w:tr2bl w:val="nil"/>
            </w:tcBorders>
            <w:shd w:val="clear" w:color="auto" w:fill="FFFFFF"/>
            <w:vAlign w:val="center"/>
          </w:tcPr>
          <w:p w14:paraId="002CA5F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巡检项目</w:t>
            </w:r>
          </w:p>
        </w:tc>
        <w:tc>
          <w:tcPr>
            <w:tcW w:w="2540" w:type="pct"/>
            <w:tcBorders>
              <w:tl2br w:val="nil"/>
              <w:tr2bl w:val="nil"/>
            </w:tcBorders>
            <w:shd w:val="clear" w:color="auto" w:fill="FFFFFF"/>
            <w:vAlign w:val="center"/>
          </w:tcPr>
          <w:p w14:paraId="2D8423B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巡检要求</w:t>
            </w:r>
          </w:p>
        </w:tc>
      </w:tr>
      <w:tr w14:paraId="6332F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362" w:type="pct"/>
            <w:vMerge w:val="restart"/>
            <w:tcBorders>
              <w:tl2br w:val="nil"/>
              <w:tr2bl w:val="nil"/>
            </w:tcBorders>
            <w:shd w:val="clear" w:color="auto" w:fill="FFFFFF"/>
            <w:vAlign w:val="center"/>
          </w:tcPr>
          <w:p w14:paraId="55E2557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1</w:t>
            </w:r>
          </w:p>
        </w:tc>
        <w:tc>
          <w:tcPr>
            <w:tcW w:w="789" w:type="pct"/>
            <w:vMerge w:val="restart"/>
            <w:tcBorders>
              <w:tl2br w:val="nil"/>
              <w:tr2bl w:val="nil"/>
            </w:tcBorders>
            <w:shd w:val="clear" w:color="auto" w:fill="FFFFFF"/>
            <w:vAlign w:val="center"/>
          </w:tcPr>
          <w:p w14:paraId="21A82C4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天馈系统</w:t>
            </w:r>
          </w:p>
        </w:tc>
        <w:tc>
          <w:tcPr>
            <w:tcW w:w="1307" w:type="pct"/>
            <w:tcBorders>
              <w:tl2br w:val="nil"/>
              <w:tr2bl w:val="nil"/>
            </w:tcBorders>
            <w:shd w:val="clear" w:color="auto" w:fill="FFFFFF"/>
            <w:vAlign w:val="center"/>
          </w:tcPr>
          <w:p w14:paraId="4429C82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监测功能</w:t>
            </w:r>
          </w:p>
        </w:tc>
        <w:tc>
          <w:tcPr>
            <w:tcW w:w="2540" w:type="pct"/>
            <w:tcBorders>
              <w:tl2br w:val="nil"/>
              <w:tr2bl w:val="nil"/>
            </w:tcBorders>
            <w:shd w:val="clear" w:color="auto" w:fill="FFFFFF"/>
            <w:vAlign w:val="center"/>
          </w:tcPr>
          <w:p w14:paraId="060E32B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检查监测天线在其工作范围的工作状态，确保能够实时准确的捕捉到天线所处空间的电波信号。</w:t>
            </w:r>
          </w:p>
        </w:tc>
      </w:tr>
      <w:tr w14:paraId="6463C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362" w:type="pct"/>
            <w:vMerge w:val="continue"/>
            <w:tcBorders>
              <w:tl2br w:val="nil"/>
              <w:tr2bl w:val="nil"/>
            </w:tcBorders>
            <w:shd w:val="clear" w:color="auto" w:fill="FFFFFF"/>
            <w:vAlign w:val="center"/>
          </w:tcPr>
          <w:p w14:paraId="41D0AF3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789" w:type="pct"/>
            <w:vMerge w:val="continue"/>
            <w:tcBorders>
              <w:tl2br w:val="nil"/>
              <w:tr2bl w:val="nil"/>
            </w:tcBorders>
            <w:shd w:val="clear" w:color="auto" w:fill="FFFFFF"/>
            <w:vAlign w:val="center"/>
          </w:tcPr>
          <w:p w14:paraId="1C20571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p>
        </w:tc>
        <w:tc>
          <w:tcPr>
            <w:tcW w:w="1307" w:type="pct"/>
            <w:tcBorders>
              <w:tl2br w:val="nil"/>
              <w:tr2bl w:val="nil"/>
            </w:tcBorders>
            <w:shd w:val="clear" w:color="auto" w:fill="FFFFFF"/>
            <w:vAlign w:val="center"/>
          </w:tcPr>
          <w:p w14:paraId="3F12D88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天线阵单元检查</w:t>
            </w:r>
          </w:p>
        </w:tc>
        <w:tc>
          <w:tcPr>
            <w:tcW w:w="2540" w:type="pct"/>
            <w:tcBorders>
              <w:tl2br w:val="nil"/>
              <w:tr2bl w:val="nil"/>
            </w:tcBorders>
            <w:shd w:val="clear" w:color="auto" w:fill="FFFFFF"/>
            <w:vAlign w:val="center"/>
          </w:tcPr>
          <w:p w14:paraId="4A073EE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检查测向天线各阵子工作是否正常。</w:t>
            </w:r>
          </w:p>
        </w:tc>
      </w:tr>
      <w:tr w14:paraId="6202E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14B8C30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37F6C40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76B50BB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天线外观检查</w:t>
            </w:r>
          </w:p>
        </w:tc>
        <w:tc>
          <w:tcPr>
            <w:tcW w:w="2540" w:type="pct"/>
            <w:tcBorders>
              <w:tl2br w:val="nil"/>
              <w:tr2bl w:val="nil"/>
            </w:tcBorders>
            <w:shd w:val="clear" w:color="auto" w:fill="FFFFFF"/>
            <w:vAlign w:val="center"/>
          </w:tcPr>
          <w:p w14:paraId="032D6AB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检查天线自身，确保天线外部无损伤。</w:t>
            </w:r>
          </w:p>
        </w:tc>
      </w:tr>
      <w:tr w14:paraId="3387B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708F14A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3D19441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78F9047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GPS天线、电子罗盘检查</w:t>
            </w:r>
          </w:p>
        </w:tc>
        <w:tc>
          <w:tcPr>
            <w:tcW w:w="2540" w:type="pct"/>
            <w:tcBorders>
              <w:tl2br w:val="nil"/>
              <w:tr2bl w:val="nil"/>
            </w:tcBorders>
            <w:shd w:val="clear" w:color="auto" w:fill="FFFFFF"/>
            <w:vAlign w:val="center"/>
          </w:tcPr>
          <w:p w14:paraId="53902A7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GPS天线、电子罗盘功能正常。</w:t>
            </w:r>
          </w:p>
        </w:tc>
      </w:tr>
      <w:tr w14:paraId="0CBF3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62" w:type="pct"/>
            <w:vMerge w:val="continue"/>
            <w:tcBorders>
              <w:tl2br w:val="nil"/>
              <w:tr2bl w:val="nil"/>
            </w:tcBorders>
            <w:shd w:val="clear" w:color="auto" w:fill="FFFFFF"/>
            <w:vAlign w:val="center"/>
          </w:tcPr>
          <w:p w14:paraId="3DCDF79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0C40AB7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2B3EB76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馈线、控制线接头检查</w:t>
            </w:r>
          </w:p>
        </w:tc>
        <w:tc>
          <w:tcPr>
            <w:tcW w:w="2540" w:type="pct"/>
            <w:vMerge w:val="restart"/>
            <w:tcBorders>
              <w:tl2br w:val="nil"/>
              <w:tr2bl w:val="nil"/>
            </w:tcBorders>
            <w:shd w:val="clear" w:color="auto" w:fill="FFFFFF"/>
            <w:vAlign w:val="center"/>
          </w:tcPr>
          <w:p w14:paraId="2F9730D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检查馈线、控制线接头是否存在裸露或氧化情况。及时有效的做好防水处理。</w:t>
            </w:r>
          </w:p>
        </w:tc>
      </w:tr>
      <w:tr w14:paraId="789B9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6AFB054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6DDCA7A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774C26B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防水情况检查</w:t>
            </w:r>
          </w:p>
        </w:tc>
        <w:tc>
          <w:tcPr>
            <w:tcW w:w="2540" w:type="pct"/>
            <w:vMerge w:val="continue"/>
            <w:tcBorders>
              <w:tl2br w:val="nil"/>
              <w:tr2bl w:val="nil"/>
            </w:tcBorders>
            <w:shd w:val="clear" w:color="auto" w:fill="FFFFFF"/>
            <w:vAlign w:val="center"/>
          </w:tcPr>
          <w:p w14:paraId="5037332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3BC16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restart"/>
            <w:tcBorders>
              <w:tl2br w:val="nil"/>
              <w:tr2bl w:val="nil"/>
            </w:tcBorders>
            <w:shd w:val="clear" w:color="auto" w:fill="FFFFFF"/>
            <w:vAlign w:val="center"/>
          </w:tcPr>
          <w:p w14:paraId="7E8DB21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2</w:t>
            </w:r>
          </w:p>
        </w:tc>
        <w:tc>
          <w:tcPr>
            <w:tcW w:w="789" w:type="pct"/>
            <w:vMerge w:val="restart"/>
            <w:tcBorders>
              <w:tl2br w:val="nil"/>
              <w:tr2bl w:val="nil"/>
            </w:tcBorders>
            <w:shd w:val="clear" w:color="auto" w:fill="FFFFFF"/>
            <w:vAlign w:val="center"/>
          </w:tcPr>
          <w:p w14:paraId="76A3496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监测系统</w:t>
            </w:r>
          </w:p>
        </w:tc>
        <w:tc>
          <w:tcPr>
            <w:tcW w:w="1307" w:type="pct"/>
            <w:tcBorders>
              <w:tl2br w:val="nil"/>
              <w:tr2bl w:val="nil"/>
            </w:tcBorders>
            <w:shd w:val="clear" w:color="auto" w:fill="FFFFFF"/>
            <w:vAlign w:val="center"/>
          </w:tcPr>
          <w:p w14:paraId="2D12E4E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频率准确度</w:t>
            </w:r>
          </w:p>
        </w:tc>
        <w:tc>
          <w:tcPr>
            <w:tcW w:w="2540" w:type="pct"/>
            <w:vMerge w:val="restart"/>
            <w:tcBorders>
              <w:tl2br w:val="nil"/>
              <w:tr2bl w:val="nil"/>
            </w:tcBorders>
            <w:shd w:val="clear" w:color="auto" w:fill="FFFFFF"/>
            <w:vAlign w:val="center"/>
          </w:tcPr>
          <w:p w14:paraId="5F995AC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r>
              <w:rPr>
                <w:rFonts w:hint="eastAsia" w:ascii="宋体" w:hAnsi="宋体" w:eastAsia="宋体" w:cs="宋体"/>
                <w:sz w:val="24"/>
                <w:szCs w:val="24"/>
              </w:rPr>
              <w:t>检查设备测量接收精度在设备的工作范围内，参考设备厂家出场的设备性能指标对设备进行参 考性测试，确保其工作正常。</w:t>
            </w:r>
          </w:p>
        </w:tc>
      </w:tr>
      <w:tr w14:paraId="7288C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646942D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3000609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61CABE5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扫描速度</w:t>
            </w:r>
          </w:p>
        </w:tc>
        <w:tc>
          <w:tcPr>
            <w:tcW w:w="2540" w:type="pct"/>
            <w:vMerge w:val="continue"/>
            <w:tcBorders>
              <w:tl2br w:val="nil"/>
              <w:tr2bl w:val="nil"/>
            </w:tcBorders>
            <w:shd w:val="clear" w:color="auto" w:fill="FFFFFF"/>
            <w:vAlign w:val="center"/>
          </w:tcPr>
          <w:p w14:paraId="2266F6E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233D8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3AC04CA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4938E65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6B8CA04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电平测量误差</w:t>
            </w:r>
          </w:p>
        </w:tc>
        <w:tc>
          <w:tcPr>
            <w:tcW w:w="2540" w:type="pct"/>
            <w:vMerge w:val="continue"/>
            <w:tcBorders>
              <w:tl2br w:val="nil"/>
              <w:tr2bl w:val="nil"/>
            </w:tcBorders>
            <w:shd w:val="clear" w:color="auto" w:fill="FFFFFF"/>
            <w:vAlign w:val="center"/>
          </w:tcPr>
          <w:p w14:paraId="1598ED2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1EDC8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14AE124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789" w:type="pct"/>
            <w:vMerge w:val="continue"/>
            <w:tcBorders>
              <w:tl2br w:val="nil"/>
              <w:tr2bl w:val="nil"/>
            </w:tcBorders>
            <w:shd w:val="clear" w:color="auto" w:fill="FFFFFF"/>
            <w:vAlign w:val="center"/>
          </w:tcPr>
          <w:p w14:paraId="0434D61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p>
        </w:tc>
        <w:tc>
          <w:tcPr>
            <w:tcW w:w="1307" w:type="pct"/>
            <w:tcBorders>
              <w:top w:val="single" w:color="auto" w:sz="4" w:space="0"/>
              <w:tl2br w:val="nil"/>
              <w:tr2bl w:val="nil"/>
            </w:tcBorders>
            <w:shd w:val="clear" w:color="auto" w:fill="FFFFFF"/>
            <w:vAlign w:val="center"/>
          </w:tcPr>
          <w:p w14:paraId="575F925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设备外观</w:t>
            </w:r>
          </w:p>
        </w:tc>
        <w:tc>
          <w:tcPr>
            <w:tcW w:w="2540" w:type="pct"/>
            <w:vMerge w:val="restart"/>
            <w:tcBorders>
              <w:tl2br w:val="nil"/>
              <w:tr2bl w:val="nil"/>
            </w:tcBorders>
            <w:shd w:val="clear" w:color="auto" w:fill="FFFFFF"/>
            <w:vAlign w:val="center"/>
          </w:tcPr>
          <w:p w14:paraId="7FB6958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检查设备硬件部分，确定设备自身工作状态的稳 定性，确定设备工作面板按键对设备操作时是否能够响应操作。</w:t>
            </w:r>
          </w:p>
        </w:tc>
      </w:tr>
      <w:tr w14:paraId="4BC06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5CCFF92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0B54601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248C61D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设备开关机</w:t>
            </w:r>
          </w:p>
        </w:tc>
        <w:tc>
          <w:tcPr>
            <w:tcW w:w="2540" w:type="pct"/>
            <w:vMerge w:val="continue"/>
            <w:tcBorders>
              <w:tl2br w:val="nil"/>
              <w:tr2bl w:val="nil"/>
            </w:tcBorders>
            <w:shd w:val="clear" w:color="auto" w:fill="FFFFFF"/>
            <w:vAlign w:val="center"/>
          </w:tcPr>
          <w:p w14:paraId="1D75306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0D9B5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0EAFF38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2D51C99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5D62D2D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屏幕显示</w:t>
            </w:r>
          </w:p>
        </w:tc>
        <w:tc>
          <w:tcPr>
            <w:tcW w:w="2540" w:type="pct"/>
            <w:vMerge w:val="continue"/>
            <w:tcBorders>
              <w:tl2br w:val="nil"/>
              <w:tr2bl w:val="nil"/>
            </w:tcBorders>
            <w:shd w:val="clear" w:color="auto" w:fill="FFFFFF"/>
            <w:vAlign w:val="center"/>
          </w:tcPr>
          <w:p w14:paraId="6ACB0F4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60CEA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38AE560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304312A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011ADB0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按键操作</w:t>
            </w:r>
          </w:p>
        </w:tc>
        <w:tc>
          <w:tcPr>
            <w:tcW w:w="2540" w:type="pct"/>
            <w:vMerge w:val="continue"/>
            <w:tcBorders>
              <w:tl2br w:val="nil"/>
              <w:tr2bl w:val="nil"/>
            </w:tcBorders>
            <w:shd w:val="clear" w:color="auto" w:fill="FFFFFF"/>
            <w:vAlign w:val="center"/>
          </w:tcPr>
          <w:p w14:paraId="6AB995C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79753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C2766E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329935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2B578DE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接收机自检</w:t>
            </w:r>
          </w:p>
        </w:tc>
        <w:tc>
          <w:tcPr>
            <w:tcW w:w="2540" w:type="pct"/>
            <w:vMerge w:val="continue"/>
            <w:tcBorders>
              <w:tl2br w:val="nil"/>
              <w:tr2bl w:val="nil"/>
            </w:tcBorders>
            <w:shd w:val="clear" w:color="auto" w:fill="FFFFFF"/>
            <w:vAlign w:val="center"/>
          </w:tcPr>
          <w:p w14:paraId="791528F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4A663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209A2C0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3E5BC2E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3FB39D7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设备地线连接检查</w:t>
            </w:r>
          </w:p>
        </w:tc>
        <w:tc>
          <w:tcPr>
            <w:tcW w:w="2540" w:type="pct"/>
            <w:tcBorders>
              <w:tl2br w:val="nil"/>
              <w:tr2bl w:val="nil"/>
            </w:tcBorders>
            <w:shd w:val="clear" w:color="auto" w:fill="FFFFFF"/>
            <w:vAlign w:val="center"/>
          </w:tcPr>
          <w:p w14:paraId="2FEB23D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检查设备自身的防雷接地处理情况。避免在雷雨季节由于感应雷所造成的设备故障。</w:t>
            </w:r>
          </w:p>
        </w:tc>
      </w:tr>
      <w:tr w14:paraId="4ED5C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F54298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935C77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46C1B34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单频测量</w:t>
            </w:r>
          </w:p>
        </w:tc>
        <w:tc>
          <w:tcPr>
            <w:tcW w:w="2540" w:type="pct"/>
            <w:vMerge w:val="restart"/>
            <w:tcBorders>
              <w:tl2br w:val="nil"/>
              <w:tr2bl w:val="nil"/>
            </w:tcBorders>
            <w:shd w:val="clear" w:color="auto" w:fill="FFFFFF"/>
            <w:vAlign w:val="center"/>
          </w:tcPr>
          <w:p w14:paraId="565728A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检查设备通过软件的控制过程，是否存在软件无法进行数据响应交换。</w:t>
            </w:r>
          </w:p>
        </w:tc>
      </w:tr>
      <w:tr w14:paraId="3DB49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F49618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F4B018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3006A0A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频段扫描</w:t>
            </w:r>
          </w:p>
        </w:tc>
        <w:tc>
          <w:tcPr>
            <w:tcW w:w="2540" w:type="pct"/>
            <w:vMerge w:val="continue"/>
            <w:tcBorders>
              <w:tl2br w:val="nil"/>
              <w:tr2bl w:val="nil"/>
            </w:tcBorders>
            <w:shd w:val="clear" w:color="auto" w:fill="FFFFFF"/>
            <w:vAlign w:val="center"/>
          </w:tcPr>
          <w:p w14:paraId="367097B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1EEAA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EDF9ED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209D561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1817F74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离散扫描</w:t>
            </w:r>
          </w:p>
        </w:tc>
        <w:tc>
          <w:tcPr>
            <w:tcW w:w="2540" w:type="pct"/>
            <w:vMerge w:val="continue"/>
            <w:tcBorders>
              <w:tl2br w:val="nil"/>
              <w:tr2bl w:val="nil"/>
            </w:tcBorders>
            <w:shd w:val="clear" w:color="auto" w:fill="FFFFFF"/>
            <w:vAlign w:val="center"/>
          </w:tcPr>
          <w:p w14:paraId="180CD00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28ED7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5162AC3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53FF465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37C5C68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设备除尘</w:t>
            </w:r>
          </w:p>
        </w:tc>
        <w:tc>
          <w:tcPr>
            <w:tcW w:w="2540" w:type="pct"/>
            <w:tcBorders>
              <w:tl2br w:val="nil"/>
              <w:tr2bl w:val="nil"/>
            </w:tcBorders>
            <w:shd w:val="clear" w:color="auto" w:fill="FFFFFF"/>
            <w:vAlign w:val="center"/>
          </w:tcPr>
          <w:p w14:paraId="68708FD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检查设备自身工作环境，对设备工作有影响的因素进行解决（例如：散热或灰尘所引起的设备工作异常）。</w:t>
            </w:r>
          </w:p>
        </w:tc>
      </w:tr>
      <w:tr w14:paraId="091AB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restart"/>
            <w:tcBorders>
              <w:top w:val="single" w:color="auto" w:sz="4" w:space="0"/>
              <w:tl2br w:val="nil"/>
              <w:tr2bl w:val="nil"/>
            </w:tcBorders>
            <w:shd w:val="clear" w:color="auto" w:fill="FFFFFF"/>
            <w:vAlign w:val="center"/>
          </w:tcPr>
          <w:p w14:paraId="193E45C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3</w:t>
            </w:r>
          </w:p>
        </w:tc>
        <w:tc>
          <w:tcPr>
            <w:tcW w:w="789" w:type="pct"/>
            <w:vMerge w:val="restart"/>
            <w:tcBorders>
              <w:top w:val="single" w:color="auto" w:sz="4" w:space="0"/>
              <w:tl2br w:val="nil"/>
              <w:tr2bl w:val="nil"/>
            </w:tcBorders>
            <w:shd w:val="clear" w:color="auto" w:fill="FFFFFF"/>
            <w:vAlign w:val="center"/>
          </w:tcPr>
          <w:p w14:paraId="696CE2C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测向系统</w:t>
            </w:r>
          </w:p>
        </w:tc>
        <w:tc>
          <w:tcPr>
            <w:tcW w:w="1307" w:type="pct"/>
            <w:tcBorders>
              <w:top w:val="single" w:color="auto" w:sz="4" w:space="0"/>
              <w:tl2br w:val="nil"/>
              <w:tr2bl w:val="nil"/>
            </w:tcBorders>
            <w:shd w:val="clear" w:color="auto" w:fill="FFFFFF"/>
            <w:vAlign w:val="center"/>
          </w:tcPr>
          <w:p w14:paraId="12F33B9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信标台站测试</w:t>
            </w:r>
          </w:p>
        </w:tc>
        <w:tc>
          <w:tcPr>
            <w:tcW w:w="2540" w:type="pct"/>
            <w:tcBorders>
              <w:tl2br w:val="nil"/>
              <w:tr2bl w:val="nil"/>
            </w:tcBorders>
            <w:shd w:val="clear" w:color="auto" w:fill="FFFFFF"/>
            <w:vAlign w:val="center"/>
          </w:tcPr>
          <w:p w14:paraId="304071A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检查测向机的测向等功能是否正常且测向准确。</w:t>
            </w:r>
          </w:p>
        </w:tc>
      </w:tr>
      <w:tr w14:paraId="22C3A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085CEB7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017CCA5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1568481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设备外观</w:t>
            </w:r>
          </w:p>
        </w:tc>
        <w:tc>
          <w:tcPr>
            <w:tcW w:w="2540" w:type="pct"/>
            <w:vMerge w:val="restart"/>
            <w:tcBorders>
              <w:tl2br w:val="nil"/>
              <w:tr2bl w:val="nil"/>
            </w:tcBorders>
            <w:shd w:val="clear" w:color="auto" w:fill="FFFFFF"/>
            <w:vAlign w:val="center"/>
          </w:tcPr>
          <w:p w14:paraId="3C22505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检查设备硬件部分，确定设备自身工作状态的稳定性，确定设备工作面板按键对设备操作时是否能够响应操作。</w:t>
            </w:r>
          </w:p>
        </w:tc>
      </w:tr>
      <w:tr w14:paraId="162A9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5666911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DAD8F7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7F15731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设备开关机</w:t>
            </w:r>
          </w:p>
        </w:tc>
        <w:tc>
          <w:tcPr>
            <w:tcW w:w="2540" w:type="pct"/>
            <w:vMerge w:val="continue"/>
            <w:tcBorders>
              <w:tl2br w:val="nil"/>
              <w:tr2bl w:val="nil"/>
            </w:tcBorders>
            <w:shd w:val="clear" w:color="auto" w:fill="FFFFFF"/>
            <w:vAlign w:val="center"/>
          </w:tcPr>
          <w:p w14:paraId="52F301D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03CE7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0A08C01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3C1A05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4863A0C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屏幕显示</w:t>
            </w:r>
          </w:p>
        </w:tc>
        <w:tc>
          <w:tcPr>
            <w:tcW w:w="2540" w:type="pct"/>
            <w:vMerge w:val="continue"/>
            <w:tcBorders>
              <w:tl2br w:val="nil"/>
              <w:tr2bl w:val="nil"/>
            </w:tcBorders>
            <w:shd w:val="clear" w:color="auto" w:fill="FFFFFF"/>
            <w:vAlign w:val="center"/>
          </w:tcPr>
          <w:p w14:paraId="0D25A53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1A3B1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0A1DA17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56754F0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41FB6F0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按键操作</w:t>
            </w:r>
          </w:p>
        </w:tc>
        <w:tc>
          <w:tcPr>
            <w:tcW w:w="2540" w:type="pct"/>
            <w:vMerge w:val="continue"/>
            <w:tcBorders>
              <w:tl2br w:val="nil"/>
              <w:tr2bl w:val="nil"/>
            </w:tcBorders>
            <w:shd w:val="clear" w:color="auto" w:fill="FFFFFF"/>
            <w:vAlign w:val="center"/>
          </w:tcPr>
          <w:p w14:paraId="0FCF137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39FD3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0CBFD9C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3247506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677F5AA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测向机自检</w:t>
            </w:r>
          </w:p>
        </w:tc>
        <w:tc>
          <w:tcPr>
            <w:tcW w:w="2540" w:type="pct"/>
            <w:vMerge w:val="continue"/>
            <w:tcBorders>
              <w:tl2br w:val="nil"/>
              <w:tr2bl w:val="nil"/>
            </w:tcBorders>
            <w:shd w:val="clear" w:color="auto" w:fill="FFFFFF"/>
            <w:vAlign w:val="center"/>
          </w:tcPr>
          <w:p w14:paraId="11BB06F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62F07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3C5D570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E9AC78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543F886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设备地线连接检查</w:t>
            </w:r>
          </w:p>
        </w:tc>
        <w:tc>
          <w:tcPr>
            <w:tcW w:w="2540" w:type="pct"/>
            <w:tcBorders>
              <w:tl2br w:val="nil"/>
              <w:tr2bl w:val="nil"/>
            </w:tcBorders>
            <w:shd w:val="clear" w:color="auto" w:fill="FFFFFF"/>
            <w:vAlign w:val="center"/>
          </w:tcPr>
          <w:p w14:paraId="36E68FC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检查设备自身的防雷接地处理情况。避免在雷雨季节由于感应雷所造成的设备故障。</w:t>
            </w:r>
          </w:p>
        </w:tc>
      </w:tr>
      <w:tr w14:paraId="0FFAC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307A83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E92945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24AC765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设备除尘</w:t>
            </w:r>
          </w:p>
        </w:tc>
        <w:tc>
          <w:tcPr>
            <w:tcW w:w="2540" w:type="pct"/>
            <w:tcBorders>
              <w:tl2br w:val="nil"/>
              <w:tr2bl w:val="nil"/>
            </w:tcBorders>
            <w:shd w:val="clear" w:color="auto" w:fill="FFFFFF"/>
            <w:vAlign w:val="center"/>
          </w:tcPr>
          <w:p w14:paraId="73D7F20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检查设备自身工作环境，对设备工作有影响的因素进行解决。（例如：散热或灰尘所引起的设备工作异常）。</w:t>
            </w:r>
          </w:p>
        </w:tc>
      </w:tr>
      <w:tr w14:paraId="3D0F9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restart"/>
            <w:tcBorders>
              <w:tl2br w:val="nil"/>
              <w:tr2bl w:val="nil"/>
            </w:tcBorders>
            <w:shd w:val="clear" w:color="auto" w:fill="FFFFFF"/>
            <w:vAlign w:val="center"/>
          </w:tcPr>
          <w:p w14:paraId="3CBCD2B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4</w:t>
            </w:r>
          </w:p>
        </w:tc>
        <w:tc>
          <w:tcPr>
            <w:tcW w:w="789" w:type="pct"/>
            <w:vMerge w:val="restart"/>
            <w:tcBorders>
              <w:tl2br w:val="nil"/>
              <w:tr2bl w:val="nil"/>
            </w:tcBorders>
            <w:shd w:val="clear" w:color="auto" w:fill="FFFFFF"/>
            <w:vAlign w:val="center"/>
          </w:tcPr>
          <w:p w14:paraId="52B9FD3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监测测向软件</w:t>
            </w:r>
          </w:p>
        </w:tc>
        <w:tc>
          <w:tcPr>
            <w:tcW w:w="1307" w:type="pct"/>
            <w:vMerge w:val="restart"/>
            <w:tcBorders>
              <w:tl2br w:val="nil"/>
              <w:tr2bl w:val="nil"/>
            </w:tcBorders>
            <w:shd w:val="clear" w:color="auto" w:fill="FFFFFF"/>
            <w:vAlign w:val="center"/>
          </w:tcPr>
          <w:p w14:paraId="66893A1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启动监测测向软件检查</w:t>
            </w:r>
          </w:p>
        </w:tc>
        <w:tc>
          <w:tcPr>
            <w:tcW w:w="2540" w:type="pct"/>
            <w:tcBorders>
              <w:tl2br w:val="nil"/>
              <w:tr2bl w:val="nil"/>
            </w:tcBorders>
            <w:shd w:val="clear" w:color="auto" w:fill="FFFFFF"/>
            <w:vAlign w:val="center"/>
          </w:tcPr>
          <w:p w14:paraId="0022796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检查服务端初始化是否正常，有无报错信息。</w:t>
            </w:r>
          </w:p>
        </w:tc>
      </w:tr>
      <w:tr w14:paraId="28697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1ECF885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873E33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64E7E19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16438CF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检查服务端的设备、天线及网络配置检查。</w:t>
            </w:r>
          </w:p>
        </w:tc>
      </w:tr>
      <w:tr w14:paraId="50C5E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7BFF5DC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5A25522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0CEF4E7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5551327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检查测试程序、系统软件控制等是否正常。</w:t>
            </w:r>
          </w:p>
        </w:tc>
      </w:tr>
      <w:tr w14:paraId="4D60C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731D8F7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15DD8A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66B263B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7D89B88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检查客户端是否正常连接，配置信息是否正确。</w:t>
            </w:r>
          </w:p>
        </w:tc>
      </w:tr>
      <w:tr w14:paraId="08E92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7E868FA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3A6F550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5C11C7B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信号扫描检查</w:t>
            </w:r>
          </w:p>
        </w:tc>
        <w:tc>
          <w:tcPr>
            <w:tcW w:w="2540" w:type="pct"/>
            <w:tcBorders>
              <w:tl2br w:val="nil"/>
              <w:tr2bl w:val="nil"/>
            </w:tcBorders>
            <w:shd w:val="clear" w:color="auto" w:fill="FFFFFF"/>
            <w:vAlign w:val="center"/>
          </w:tcPr>
          <w:p w14:paraId="7203CAA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检查天线频段扫描功能是否正常，扫描信号电平是否正常。</w:t>
            </w:r>
          </w:p>
        </w:tc>
      </w:tr>
      <w:tr w14:paraId="17EC6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2602226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23F292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056AB2D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31CD6FB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检查多段扫描功能是否正常。</w:t>
            </w:r>
          </w:p>
        </w:tc>
      </w:tr>
      <w:tr w14:paraId="35DD6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23B43D9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41B0917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2F2B601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444C47B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检查FSCAN、PSCAN、MSCAN扫描功能是否正常。</w:t>
            </w:r>
          </w:p>
        </w:tc>
      </w:tr>
      <w:tr w14:paraId="27706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0D2147C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96D558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718A6F4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单频测量检查</w:t>
            </w:r>
          </w:p>
        </w:tc>
        <w:tc>
          <w:tcPr>
            <w:tcW w:w="2540" w:type="pct"/>
            <w:tcBorders>
              <w:tl2br w:val="nil"/>
              <w:tr2bl w:val="nil"/>
            </w:tcBorders>
            <w:shd w:val="clear" w:color="auto" w:fill="FFFFFF"/>
            <w:vAlign w:val="center"/>
          </w:tcPr>
          <w:p w14:paraId="334CC42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对频率、滤波带宽、频谱带宽等各参数进行设置，并测量，检查测量结果是否正常。</w:t>
            </w:r>
          </w:p>
        </w:tc>
      </w:tr>
      <w:tr w14:paraId="6B986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5B5D86C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2CE336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21E6FA9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5AADAF3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检查声音解调是否正常。</w:t>
            </w:r>
          </w:p>
        </w:tc>
      </w:tr>
      <w:tr w14:paraId="3C817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0A325FA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4F761F6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00FE69D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示向度测量检查</w:t>
            </w:r>
          </w:p>
        </w:tc>
        <w:tc>
          <w:tcPr>
            <w:tcW w:w="2540" w:type="pct"/>
            <w:tcBorders>
              <w:tl2br w:val="nil"/>
              <w:tr2bl w:val="nil"/>
            </w:tcBorders>
            <w:shd w:val="clear" w:color="auto" w:fill="FFFFFF"/>
            <w:vAlign w:val="center"/>
          </w:tcPr>
          <w:p w14:paraId="70FDFCD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设置不同频率、参数进行示向度测量，并检查测量结果是否正常。</w:t>
            </w:r>
          </w:p>
        </w:tc>
      </w:tr>
      <w:tr w14:paraId="2AF05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1D2F5F1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4552C75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634A14D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7FDA748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结合电子地图进行示向度测量显示。</w:t>
            </w:r>
          </w:p>
        </w:tc>
      </w:tr>
      <w:tr w14:paraId="4270F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4B859FE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0B3B43A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62E441A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电子地图检查（若有）</w:t>
            </w:r>
          </w:p>
        </w:tc>
        <w:tc>
          <w:tcPr>
            <w:tcW w:w="2540" w:type="pct"/>
            <w:tcBorders>
              <w:tl2br w:val="nil"/>
              <w:tr2bl w:val="nil"/>
            </w:tcBorders>
            <w:shd w:val="clear" w:color="auto" w:fill="FFFFFF"/>
            <w:vAlign w:val="center"/>
          </w:tcPr>
          <w:p w14:paraId="077A7FD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检查地图是否正确打开，台站图标是否定位正确。</w:t>
            </w:r>
          </w:p>
        </w:tc>
      </w:tr>
      <w:tr w14:paraId="0AB8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1AC538E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0B722A5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46FD4CE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3D59E26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检查图层是否显示正确、地图工具按钮功能是否正常。</w:t>
            </w:r>
          </w:p>
        </w:tc>
      </w:tr>
      <w:tr w14:paraId="557EB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3773AB7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21E2AF6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7FDEE42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数据记录及管理检查（若有）</w:t>
            </w:r>
          </w:p>
        </w:tc>
        <w:tc>
          <w:tcPr>
            <w:tcW w:w="2540" w:type="pct"/>
            <w:tcBorders>
              <w:tl2br w:val="nil"/>
              <w:tr2bl w:val="nil"/>
            </w:tcBorders>
            <w:shd w:val="clear" w:color="auto" w:fill="FFFFFF"/>
            <w:vAlign w:val="center"/>
          </w:tcPr>
          <w:p w14:paraId="76FF620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检查测量数据的记录、查询回放功能测试。</w:t>
            </w:r>
          </w:p>
        </w:tc>
      </w:tr>
      <w:tr w14:paraId="1AF86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642265F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4FA3A4D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2049B10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6752A49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信号录音功能测试。</w:t>
            </w:r>
          </w:p>
        </w:tc>
      </w:tr>
      <w:tr w14:paraId="60FFB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0037697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0E23609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5A85BF7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12B48E6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监测数据存储功能检查。</w:t>
            </w:r>
          </w:p>
        </w:tc>
      </w:tr>
      <w:tr w14:paraId="32710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40302AF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0B24FC4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28EF2EC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1C571E2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月报功能检查。</w:t>
            </w:r>
          </w:p>
        </w:tc>
      </w:tr>
      <w:tr w14:paraId="793A3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52EFE96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5</w:t>
            </w:r>
          </w:p>
        </w:tc>
        <w:tc>
          <w:tcPr>
            <w:tcW w:w="789" w:type="pct"/>
            <w:vMerge w:val="restart"/>
            <w:tcBorders>
              <w:tl2br w:val="nil"/>
              <w:tr2bl w:val="nil"/>
            </w:tcBorders>
            <w:shd w:val="clear" w:color="auto" w:fill="FFFFFF"/>
            <w:vAlign w:val="center"/>
          </w:tcPr>
          <w:p w14:paraId="0605F61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控制系统</w:t>
            </w:r>
          </w:p>
        </w:tc>
        <w:tc>
          <w:tcPr>
            <w:tcW w:w="1307" w:type="pct"/>
            <w:tcBorders>
              <w:tl2br w:val="nil"/>
              <w:tr2bl w:val="nil"/>
            </w:tcBorders>
            <w:shd w:val="clear" w:color="auto" w:fill="FFFFFF"/>
            <w:vAlign w:val="center"/>
          </w:tcPr>
          <w:p w14:paraId="33B895A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控制电脑硬件、操作系统检查</w:t>
            </w:r>
          </w:p>
        </w:tc>
        <w:tc>
          <w:tcPr>
            <w:tcW w:w="2540" w:type="pct"/>
            <w:tcBorders>
              <w:tl2br w:val="nil"/>
              <w:tr2bl w:val="nil"/>
            </w:tcBorders>
            <w:shd w:val="clear" w:color="auto" w:fill="FFFFFF"/>
            <w:vAlign w:val="center"/>
          </w:tcPr>
          <w:p w14:paraId="5AFF25E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控制电脑硬件、外观和操作系统正常。</w:t>
            </w:r>
          </w:p>
        </w:tc>
      </w:tr>
      <w:tr w14:paraId="7CC9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0EE1FBA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5D92BCB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498BC8F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系统安全检查</w:t>
            </w:r>
          </w:p>
        </w:tc>
        <w:tc>
          <w:tcPr>
            <w:tcW w:w="2540" w:type="pct"/>
            <w:tcBorders>
              <w:tl2br w:val="nil"/>
              <w:tr2bl w:val="nil"/>
            </w:tcBorders>
            <w:shd w:val="clear" w:color="auto" w:fill="FFFFFF"/>
            <w:vAlign w:val="center"/>
          </w:tcPr>
          <w:p w14:paraId="67B4B6C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对系统进行安全测试，对其存在的安全漏洞进行修补，防止病毒的侵入。</w:t>
            </w:r>
          </w:p>
        </w:tc>
      </w:tr>
      <w:tr w14:paraId="4397F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F6ECB0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37A342C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2874106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软件检查</w:t>
            </w:r>
          </w:p>
        </w:tc>
        <w:tc>
          <w:tcPr>
            <w:tcW w:w="2540" w:type="pct"/>
            <w:tcBorders>
              <w:tl2br w:val="nil"/>
              <w:tr2bl w:val="nil"/>
            </w:tcBorders>
            <w:shd w:val="clear" w:color="auto" w:fill="FFFFFF"/>
            <w:vAlign w:val="center"/>
          </w:tcPr>
          <w:p w14:paraId="57A0E1C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确定控制系统内部软件工作是否正常，若异常及时对其进行故障判断解决。</w:t>
            </w:r>
          </w:p>
        </w:tc>
      </w:tr>
      <w:tr w14:paraId="53FC0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4B2E9FD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3486468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6AEF0A6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系统备份检查</w:t>
            </w:r>
          </w:p>
        </w:tc>
        <w:tc>
          <w:tcPr>
            <w:tcW w:w="2540" w:type="pct"/>
            <w:tcBorders>
              <w:tl2br w:val="nil"/>
              <w:tr2bl w:val="nil"/>
            </w:tcBorders>
            <w:shd w:val="clear" w:color="auto" w:fill="FFFFFF"/>
            <w:vAlign w:val="center"/>
          </w:tcPr>
          <w:p w14:paraId="6AA176B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对系统进行备份，以便在发生灾难性故障时能够及时有效的恢复系统。</w:t>
            </w:r>
          </w:p>
        </w:tc>
      </w:tr>
      <w:tr w14:paraId="03E6C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restart"/>
            <w:tcBorders>
              <w:tl2br w:val="nil"/>
              <w:tr2bl w:val="nil"/>
            </w:tcBorders>
            <w:shd w:val="clear" w:color="auto" w:fill="FFFFFF"/>
            <w:vAlign w:val="center"/>
          </w:tcPr>
          <w:p w14:paraId="665B73E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6</w:t>
            </w:r>
          </w:p>
        </w:tc>
        <w:tc>
          <w:tcPr>
            <w:tcW w:w="789" w:type="pct"/>
            <w:vMerge w:val="restart"/>
            <w:tcBorders>
              <w:tl2br w:val="nil"/>
              <w:tr2bl w:val="nil"/>
            </w:tcBorders>
            <w:shd w:val="clear" w:color="auto" w:fill="FFFFFF"/>
            <w:vAlign w:val="center"/>
          </w:tcPr>
          <w:p w14:paraId="5071C53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网络连接</w:t>
            </w:r>
          </w:p>
        </w:tc>
        <w:tc>
          <w:tcPr>
            <w:tcW w:w="1307" w:type="pct"/>
            <w:tcBorders>
              <w:tl2br w:val="nil"/>
              <w:tr2bl w:val="nil"/>
            </w:tcBorders>
            <w:shd w:val="clear" w:color="auto" w:fill="FFFFFF"/>
            <w:vAlign w:val="center"/>
          </w:tcPr>
          <w:p w14:paraId="40B5969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交换机硬件检查</w:t>
            </w:r>
          </w:p>
        </w:tc>
        <w:tc>
          <w:tcPr>
            <w:tcW w:w="2540" w:type="pct"/>
            <w:tcBorders>
              <w:tl2br w:val="nil"/>
              <w:tr2bl w:val="nil"/>
            </w:tcBorders>
            <w:shd w:val="clear" w:color="auto" w:fill="FFFFFF"/>
            <w:vAlign w:val="center"/>
          </w:tcPr>
          <w:p w14:paraId="693F918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对交换机进行硬件检查，确定其工作状态，及时发现并解决出现的硬件故障。</w:t>
            </w:r>
          </w:p>
        </w:tc>
      </w:tr>
      <w:tr w14:paraId="37DEE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6099D36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5332644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408AB14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交换机连通性检查</w:t>
            </w:r>
          </w:p>
        </w:tc>
        <w:tc>
          <w:tcPr>
            <w:tcW w:w="2540" w:type="pct"/>
            <w:tcBorders>
              <w:tl2br w:val="nil"/>
              <w:tr2bl w:val="nil"/>
            </w:tcBorders>
            <w:shd w:val="clear" w:color="auto" w:fill="FFFFFF"/>
            <w:vAlign w:val="center"/>
          </w:tcPr>
          <w:p w14:paraId="7E3F561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对交换机进行数据包交换测试。确定其各端口数据交换的联通性。</w:t>
            </w:r>
          </w:p>
        </w:tc>
      </w:tr>
      <w:tr w14:paraId="7744E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53FC22F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7</w:t>
            </w:r>
          </w:p>
        </w:tc>
        <w:tc>
          <w:tcPr>
            <w:tcW w:w="789" w:type="pct"/>
            <w:vMerge w:val="restart"/>
            <w:tcBorders>
              <w:tl2br w:val="nil"/>
              <w:tr2bl w:val="nil"/>
            </w:tcBorders>
            <w:shd w:val="clear" w:color="auto" w:fill="FFFFFF"/>
            <w:vAlign w:val="center"/>
          </w:tcPr>
          <w:p w14:paraId="36B9B3A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电源系统</w:t>
            </w:r>
          </w:p>
        </w:tc>
        <w:tc>
          <w:tcPr>
            <w:tcW w:w="1307" w:type="pct"/>
            <w:vMerge w:val="restart"/>
            <w:tcBorders>
              <w:tl2br w:val="nil"/>
              <w:tr2bl w:val="nil"/>
            </w:tcBorders>
            <w:shd w:val="clear" w:color="auto" w:fill="FFFFFF"/>
            <w:vAlign w:val="center"/>
          </w:tcPr>
          <w:p w14:paraId="5551B49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电源管理模块检查</w:t>
            </w:r>
          </w:p>
        </w:tc>
        <w:tc>
          <w:tcPr>
            <w:tcW w:w="2540" w:type="pct"/>
            <w:tcBorders>
              <w:tl2br w:val="nil"/>
              <w:tr2bl w:val="nil"/>
            </w:tcBorders>
            <w:shd w:val="clear" w:color="auto" w:fill="FFFFFF"/>
            <w:vAlign w:val="center"/>
          </w:tcPr>
          <w:p w14:paraId="40B053A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车载充电方式。</w:t>
            </w:r>
          </w:p>
        </w:tc>
      </w:tr>
      <w:tr w14:paraId="0EFDF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61D8203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7574A9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18C5BA7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36B4EE7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市电充电方式。</w:t>
            </w:r>
          </w:p>
        </w:tc>
      </w:tr>
      <w:tr w14:paraId="49F8A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0AD533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28397A2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74D5EB8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电池状态检查</w:t>
            </w:r>
          </w:p>
        </w:tc>
        <w:tc>
          <w:tcPr>
            <w:tcW w:w="2540" w:type="pct"/>
            <w:tcBorders>
              <w:tl2br w:val="nil"/>
              <w:tr2bl w:val="nil"/>
            </w:tcBorders>
            <w:shd w:val="clear" w:color="auto" w:fill="FFFFFF"/>
            <w:vAlign w:val="center"/>
          </w:tcPr>
          <w:p w14:paraId="5E3637C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蓄电池是否能正常进行充、放电。</w:t>
            </w:r>
          </w:p>
        </w:tc>
      </w:tr>
      <w:tr w14:paraId="596E1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27DA5D1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249C8BA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7AF8482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2AA64CC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蓄电池连接处有无松动、腐蚀现象。</w:t>
            </w:r>
          </w:p>
        </w:tc>
      </w:tr>
      <w:tr w14:paraId="7A397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516053A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651266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41ACEF8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346DDC2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蓄电池外观是否完好、无外壳变形和渗漏。</w:t>
            </w:r>
          </w:p>
        </w:tc>
      </w:tr>
      <w:tr w14:paraId="7BF05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DFEAA6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2E75C2E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3857D52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598F88A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蓄电池的极柱、安全阀周围是否有酸雾溢出。</w:t>
            </w:r>
          </w:p>
        </w:tc>
      </w:tr>
      <w:tr w14:paraId="53256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2801B27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4EA96D4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07F968F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供电电压测量</w:t>
            </w:r>
          </w:p>
        </w:tc>
        <w:tc>
          <w:tcPr>
            <w:tcW w:w="2540" w:type="pct"/>
            <w:tcBorders>
              <w:tl2br w:val="nil"/>
              <w:tr2bl w:val="nil"/>
            </w:tcBorders>
            <w:shd w:val="clear" w:color="auto" w:fill="FFFFFF"/>
            <w:vAlign w:val="center"/>
          </w:tcPr>
          <w:p w14:paraId="1BA3DAC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分别测量市电电压，稳压电源输出电压、UPS输入输出电压、蓄电池组电压，必要时测量蓄电池单体电压。</w:t>
            </w:r>
          </w:p>
        </w:tc>
      </w:tr>
      <w:tr w14:paraId="19FFD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0C4D058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8</w:t>
            </w:r>
          </w:p>
        </w:tc>
        <w:tc>
          <w:tcPr>
            <w:tcW w:w="789" w:type="pct"/>
            <w:vMerge w:val="restart"/>
            <w:tcBorders>
              <w:tl2br w:val="nil"/>
              <w:tr2bl w:val="nil"/>
            </w:tcBorders>
            <w:shd w:val="clear" w:color="auto" w:fill="FFFFFF"/>
            <w:vAlign w:val="center"/>
          </w:tcPr>
          <w:p w14:paraId="4330E7B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设备连接</w:t>
            </w:r>
          </w:p>
        </w:tc>
        <w:tc>
          <w:tcPr>
            <w:tcW w:w="1307" w:type="pct"/>
            <w:tcBorders>
              <w:tl2br w:val="nil"/>
              <w:tr2bl w:val="nil"/>
            </w:tcBorders>
            <w:shd w:val="clear" w:color="auto" w:fill="FFFFFF"/>
            <w:vAlign w:val="center"/>
          </w:tcPr>
          <w:p w14:paraId="4C007FD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电源连接线检查</w:t>
            </w:r>
          </w:p>
        </w:tc>
        <w:tc>
          <w:tcPr>
            <w:tcW w:w="2540" w:type="pct"/>
            <w:tcBorders>
              <w:tl2br w:val="nil"/>
              <w:tr2bl w:val="nil"/>
            </w:tcBorders>
            <w:shd w:val="clear" w:color="auto" w:fill="FFFFFF"/>
            <w:vAlign w:val="center"/>
          </w:tcPr>
          <w:p w14:paraId="774260A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设备电源连接线连接固定正常。</w:t>
            </w:r>
          </w:p>
        </w:tc>
      </w:tr>
      <w:tr w14:paraId="65A7A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06EB470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2EF7FB3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7A7BE92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数据连接线检查</w:t>
            </w:r>
          </w:p>
        </w:tc>
        <w:tc>
          <w:tcPr>
            <w:tcW w:w="2540" w:type="pct"/>
            <w:tcBorders>
              <w:tl2br w:val="nil"/>
              <w:tr2bl w:val="nil"/>
            </w:tcBorders>
            <w:shd w:val="clear" w:color="auto" w:fill="FFFFFF"/>
            <w:vAlign w:val="center"/>
          </w:tcPr>
          <w:p w14:paraId="7EFF0EA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设备数据连接线连接固定正常。</w:t>
            </w:r>
          </w:p>
        </w:tc>
      </w:tr>
      <w:tr w14:paraId="23D4E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077D01C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4DD16C2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508E61F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射频线检查</w:t>
            </w:r>
          </w:p>
        </w:tc>
        <w:tc>
          <w:tcPr>
            <w:tcW w:w="2540" w:type="pct"/>
            <w:tcBorders>
              <w:tl2br w:val="nil"/>
              <w:tr2bl w:val="nil"/>
            </w:tcBorders>
            <w:shd w:val="clear" w:color="auto" w:fill="FFFFFF"/>
            <w:vAlign w:val="center"/>
          </w:tcPr>
          <w:p w14:paraId="088397F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天馈射频连接线连接固定正常。</w:t>
            </w:r>
          </w:p>
        </w:tc>
      </w:tr>
      <w:tr w14:paraId="10AC8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7E2D980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9</w:t>
            </w:r>
          </w:p>
        </w:tc>
        <w:tc>
          <w:tcPr>
            <w:tcW w:w="789" w:type="pct"/>
            <w:vMerge w:val="restart"/>
            <w:tcBorders>
              <w:tl2br w:val="nil"/>
              <w:tr2bl w:val="nil"/>
            </w:tcBorders>
            <w:shd w:val="clear" w:color="auto" w:fill="FFFFFF"/>
            <w:vAlign w:val="center"/>
          </w:tcPr>
          <w:p w14:paraId="1ECCFF5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视频图像监视系统（若有）</w:t>
            </w:r>
          </w:p>
        </w:tc>
        <w:tc>
          <w:tcPr>
            <w:tcW w:w="1307" w:type="pct"/>
            <w:tcBorders>
              <w:tl2br w:val="nil"/>
              <w:tr2bl w:val="nil"/>
            </w:tcBorders>
            <w:shd w:val="clear" w:color="auto" w:fill="FFFFFF"/>
            <w:vAlign w:val="center"/>
          </w:tcPr>
          <w:p w14:paraId="5F2BF4A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视频服务器功能检查</w:t>
            </w:r>
          </w:p>
        </w:tc>
        <w:tc>
          <w:tcPr>
            <w:tcW w:w="2540" w:type="pct"/>
            <w:tcBorders>
              <w:tl2br w:val="nil"/>
              <w:tr2bl w:val="nil"/>
            </w:tcBorders>
            <w:shd w:val="clear" w:color="auto" w:fill="FFFFFF"/>
            <w:vAlign w:val="center"/>
          </w:tcPr>
          <w:p w14:paraId="53CAF44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设备基本状态检查。</w:t>
            </w:r>
          </w:p>
        </w:tc>
      </w:tr>
      <w:tr w14:paraId="2F034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3D44FB8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4F482EE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5364B4A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摄像机&amp;云台功能检查</w:t>
            </w:r>
          </w:p>
        </w:tc>
        <w:tc>
          <w:tcPr>
            <w:tcW w:w="2540" w:type="pct"/>
            <w:tcBorders>
              <w:tl2br w:val="nil"/>
              <w:tr2bl w:val="nil"/>
            </w:tcBorders>
            <w:shd w:val="clear" w:color="auto" w:fill="FFFFFF"/>
            <w:vAlign w:val="center"/>
          </w:tcPr>
          <w:p w14:paraId="6CA2BA8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设备基本状态检查。</w:t>
            </w:r>
          </w:p>
        </w:tc>
      </w:tr>
      <w:tr w14:paraId="30399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3B1BBDC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2EE5676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1BE71C0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72417B8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检查设备供电是否为长供电（UPS供电）。</w:t>
            </w:r>
          </w:p>
        </w:tc>
      </w:tr>
      <w:tr w14:paraId="5CA5E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5ACB503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52EC18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2D4B8BE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1246583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监控图像测试（截图）。</w:t>
            </w:r>
          </w:p>
        </w:tc>
      </w:tr>
      <w:tr w14:paraId="45D9B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restart"/>
            <w:tcBorders>
              <w:tl2br w:val="nil"/>
              <w:tr2bl w:val="nil"/>
            </w:tcBorders>
            <w:shd w:val="clear" w:color="auto" w:fill="FFFFFF"/>
            <w:vAlign w:val="center"/>
          </w:tcPr>
          <w:p w14:paraId="2C6F830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789" w:type="pct"/>
            <w:vMerge w:val="restart"/>
            <w:tcBorders>
              <w:tl2br w:val="nil"/>
              <w:tr2bl w:val="nil"/>
            </w:tcBorders>
            <w:shd w:val="clear" w:color="auto" w:fill="FFFFFF"/>
            <w:vAlign w:val="center"/>
          </w:tcPr>
          <w:p w14:paraId="6F18BF0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移动监测车</w:t>
            </w:r>
          </w:p>
        </w:tc>
        <w:tc>
          <w:tcPr>
            <w:tcW w:w="1307" w:type="pct"/>
            <w:vMerge w:val="restart"/>
            <w:tcBorders>
              <w:tl2br w:val="nil"/>
              <w:tr2bl w:val="nil"/>
            </w:tcBorders>
            <w:shd w:val="clear" w:color="auto" w:fill="FFFFFF"/>
            <w:vAlign w:val="center"/>
          </w:tcPr>
          <w:p w14:paraId="1DE5F92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车况检查</w:t>
            </w:r>
          </w:p>
        </w:tc>
        <w:tc>
          <w:tcPr>
            <w:tcW w:w="2540" w:type="pct"/>
            <w:tcBorders>
              <w:tl2br w:val="nil"/>
              <w:tr2bl w:val="nil"/>
            </w:tcBorders>
            <w:shd w:val="clear" w:color="auto" w:fill="FFFFFF"/>
            <w:vAlign w:val="center"/>
          </w:tcPr>
          <w:p w14:paraId="42C0821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对车辆外观、轮胎、灯光、转向、制动系统及各部分润滑油（脂）、燃油、冷却液、制动液等进行检查。</w:t>
            </w:r>
          </w:p>
        </w:tc>
      </w:tr>
      <w:tr w14:paraId="7A015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6DB147A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6A3C49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6EF9BC0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7A4FA6E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保持监测车车内环境整洁，各监测设备周围禁止堆放杂物。</w:t>
            </w:r>
          </w:p>
        </w:tc>
      </w:tr>
      <w:tr w14:paraId="0E075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0AA3B72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0E74D72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3CC68C5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12CBE85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保持车内通风、干燥、环境良好。</w:t>
            </w:r>
          </w:p>
        </w:tc>
      </w:tr>
      <w:tr w14:paraId="2F6E2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472326F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318987B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3D40B4C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车载设备检查</w:t>
            </w:r>
          </w:p>
        </w:tc>
        <w:tc>
          <w:tcPr>
            <w:tcW w:w="2540" w:type="pct"/>
            <w:tcBorders>
              <w:tl2br w:val="nil"/>
              <w:tr2bl w:val="nil"/>
            </w:tcBorders>
            <w:shd w:val="clear" w:color="auto" w:fill="FFFFFF"/>
            <w:vAlign w:val="center"/>
          </w:tcPr>
          <w:p w14:paraId="25A948D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清理设备积灰，定期通电，检查车内各设备运行是否正常。</w:t>
            </w:r>
          </w:p>
        </w:tc>
      </w:tr>
      <w:tr w14:paraId="24857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03E407D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6E496F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3809A45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3B9281E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车载消防设备检查，如检查灭火系统维护情况，检查灭火器是否过期或压力不足等。</w:t>
            </w:r>
          </w:p>
        </w:tc>
      </w:tr>
      <w:tr w14:paraId="78360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439B10F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50B018C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3F5379E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62D3327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检查机柜散热风扇运行情况，检查机柜及设备紧固性。</w:t>
            </w:r>
          </w:p>
        </w:tc>
      </w:tr>
      <w:tr w14:paraId="76C43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438BD80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54071EA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7691A64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车辆行驶检查</w:t>
            </w:r>
          </w:p>
        </w:tc>
        <w:tc>
          <w:tcPr>
            <w:tcW w:w="2540" w:type="pct"/>
            <w:tcBorders>
              <w:tl2br w:val="nil"/>
              <w:tr2bl w:val="nil"/>
            </w:tcBorders>
            <w:shd w:val="clear" w:color="auto" w:fill="FFFFFF"/>
            <w:vAlign w:val="center"/>
          </w:tcPr>
          <w:p w14:paraId="60237BA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检查车辆机柜防震效果是否正常。</w:t>
            </w:r>
          </w:p>
        </w:tc>
      </w:tr>
      <w:tr w14:paraId="0E1A8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122DE22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695D4BE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6D31366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车库检查</w:t>
            </w:r>
          </w:p>
        </w:tc>
        <w:tc>
          <w:tcPr>
            <w:tcW w:w="2540" w:type="pct"/>
            <w:tcBorders>
              <w:tl2br w:val="nil"/>
              <w:tr2bl w:val="nil"/>
            </w:tcBorders>
            <w:shd w:val="clear" w:color="auto" w:fill="FFFFFF"/>
            <w:vAlign w:val="center"/>
          </w:tcPr>
          <w:p w14:paraId="3CEF465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监测车应配有专用车库，检查车库内的市电插座。</w:t>
            </w:r>
          </w:p>
        </w:tc>
      </w:tr>
      <w:tr w14:paraId="1B4F0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555755A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6F08088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70CB82B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496F38B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检查车库内不得存放无关杂物，保持车库整洁。</w:t>
            </w:r>
          </w:p>
        </w:tc>
      </w:tr>
    </w:tbl>
    <w:p w14:paraId="7760A8FD">
      <w:pPr>
        <w:numPr>
          <w:ilvl w:val="0"/>
          <w:numId w:val="2"/>
        </w:numPr>
        <w:ind w:left="0" w:leftChars="0"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监测控制中心</w:t>
      </w:r>
    </w:p>
    <w:p w14:paraId="618F0C12">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lang w:val="en-US" w:eastAsia="zh-CN"/>
        </w:rPr>
      </w:pPr>
      <w:r>
        <w:rPr>
          <w:rFonts w:hint="eastAsia" w:ascii="仿宋_GB2312" w:hAnsi="宋体" w:eastAsia="仿宋_GB2312"/>
          <w:sz w:val="32"/>
          <w:lang w:eastAsia="zh-CN"/>
        </w:rPr>
        <w:t>现场巡检内容具体如下（巡检内容应根据国家和省有关监测设施巡检规范和要求实时更新调整）：</w:t>
      </w:r>
    </w:p>
    <w:tbl>
      <w:tblPr>
        <w:tblStyle w:val="6"/>
        <w:tblW w:w="5004"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643"/>
        <w:gridCol w:w="1156"/>
        <w:gridCol w:w="1505"/>
        <w:gridCol w:w="5019"/>
      </w:tblGrid>
      <w:tr w14:paraId="31C494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D787E">
            <w:pPr>
              <w:pStyle w:val="9"/>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序号</w:t>
            </w:r>
          </w:p>
        </w:tc>
        <w:tc>
          <w:tcPr>
            <w:tcW w:w="694" w:type="pct"/>
            <w:tcBorders>
              <w:top w:val="single" w:color="000000" w:sz="4" w:space="0"/>
              <w:left w:val="nil"/>
              <w:bottom w:val="single" w:color="000000" w:sz="4" w:space="0"/>
              <w:right w:val="single" w:color="000000" w:sz="4" w:space="0"/>
            </w:tcBorders>
            <w:shd w:val="clear" w:color="auto" w:fill="FFFFFF"/>
            <w:vAlign w:val="center"/>
          </w:tcPr>
          <w:p w14:paraId="6C7B38EA">
            <w:pPr>
              <w:pStyle w:val="9"/>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巡检设备</w:t>
            </w:r>
          </w:p>
        </w:tc>
        <w:tc>
          <w:tcPr>
            <w:tcW w:w="904" w:type="pct"/>
            <w:tcBorders>
              <w:top w:val="single" w:color="000000" w:sz="4" w:space="0"/>
              <w:left w:val="nil"/>
              <w:bottom w:val="single" w:color="000000" w:sz="4" w:space="0"/>
              <w:right w:val="single" w:color="000000" w:sz="4" w:space="0"/>
            </w:tcBorders>
            <w:shd w:val="clear" w:color="auto" w:fill="FFFFFF"/>
            <w:vAlign w:val="center"/>
          </w:tcPr>
          <w:p w14:paraId="63CF7AFF">
            <w:pPr>
              <w:pStyle w:val="9"/>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巡检项目</w:t>
            </w:r>
          </w:p>
        </w:tc>
        <w:tc>
          <w:tcPr>
            <w:tcW w:w="3014" w:type="pct"/>
            <w:tcBorders>
              <w:top w:val="single" w:color="000000" w:sz="4" w:space="0"/>
              <w:left w:val="nil"/>
              <w:bottom w:val="single" w:color="000000" w:sz="4" w:space="0"/>
              <w:right w:val="single" w:color="000000" w:sz="4" w:space="0"/>
            </w:tcBorders>
            <w:shd w:val="clear" w:color="auto" w:fill="FFFFFF"/>
            <w:vAlign w:val="center"/>
          </w:tcPr>
          <w:p w14:paraId="109F7E41">
            <w:pPr>
              <w:pStyle w:val="9"/>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巡检要求</w:t>
            </w:r>
          </w:p>
        </w:tc>
      </w:tr>
      <w:tr w14:paraId="4D2433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7290BBD3">
            <w:pPr>
              <w:pStyle w:val="9"/>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694" w:type="pct"/>
            <w:vMerge w:val="restart"/>
            <w:tcBorders>
              <w:top w:val="nil"/>
              <w:left w:val="nil"/>
              <w:bottom w:val="single" w:color="000000" w:sz="4" w:space="0"/>
              <w:right w:val="single" w:color="000000" w:sz="4" w:space="0"/>
            </w:tcBorders>
            <w:shd w:val="clear" w:color="auto" w:fill="FFFFFF"/>
            <w:vAlign w:val="center"/>
          </w:tcPr>
          <w:p w14:paraId="799389CC">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控制系统</w:t>
            </w:r>
          </w:p>
        </w:tc>
        <w:tc>
          <w:tcPr>
            <w:tcW w:w="904" w:type="pct"/>
            <w:tcBorders>
              <w:top w:val="nil"/>
              <w:left w:val="nil"/>
              <w:bottom w:val="single" w:color="000000" w:sz="4" w:space="0"/>
              <w:right w:val="single" w:color="000000" w:sz="4" w:space="0"/>
            </w:tcBorders>
            <w:shd w:val="clear" w:color="auto" w:fill="FFFFFF"/>
            <w:vAlign w:val="center"/>
          </w:tcPr>
          <w:p w14:paraId="60999166">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控制端硬件、操作系统检查</w:t>
            </w:r>
          </w:p>
        </w:tc>
        <w:tc>
          <w:tcPr>
            <w:tcW w:w="3014" w:type="pct"/>
            <w:tcBorders>
              <w:top w:val="nil"/>
              <w:left w:val="nil"/>
              <w:bottom w:val="single" w:color="000000" w:sz="4" w:space="0"/>
              <w:right w:val="single" w:color="000000" w:sz="4" w:space="0"/>
            </w:tcBorders>
            <w:shd w:val="clear" w:color="auto" w:fill="FFFFFF"/>
            <w:vAlign w:val="center"/>
          </w:tcPr>
          <w:p w14:paraId="44339586">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控制电脑和服务期的硬件、外观和操作系统正常。</w:t>
            </w:r>
          </w:p>
        </w:tc>
      </w:tr>
      <w:tr w14:paraId="3969B4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6D192607">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0165914A">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ABBD453">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系统安全检查</w:t>
            </w:r>
          </w:p>
        </w:tc>
        <w:tc>
          <w:tcPr>
            <w:tcW w:w="3014" w:type="pct"/>
            <w:tcBorders>
              <w:top w:val="nil"/>
              <w:left w:val="nil"/>
              <w:bottom w:val="single" w:color="000000" w:sz="4" w:space="0"/>
              <w:right w:val="single" w:color="000000" w:sz="4" w:space="0"/>
            </w:tcBorders>
            <w:shd w:val="clear" w:color="auto" w:fill="FFFFFF"/>
            <w:vAlign w:val="center"/>
          </w:tcPr>
          <w:p w14:paraId="5EBE2132">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对系统进行安全测试，对其存在的安全漏洞进行修补，防止病毒的侵入。</w:t>
            </w:r>
          </w:p>
        </w:tc>
      </w:tr>
      <w:tr w14:paraId="2D1BA2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58377A16">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72D631A0">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399D753D">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软件检查</w:t>
            </w:r>
          </w:p>
        </w:tc>
        <w:tc>
          <w:tcPr>
            <w:tcW w:w="3014" w:type="pct"/>
            <w:tcBorders>
              <w:top w:val="nil"/>
              <w:left w:val="nil"/>
              <w:bottom w:val="single" w:color="000000" w:sz="4" w:space="0"/>
              <w:right w:val="single" w:color="000000" w:sz="4" w:space="0"/>
            </w:tcBorders>
            <w:shd w:val="clear" w:color="auto" w:fill="FFFFFF"/>
            <w:vAlign w:val="center"/>
          </w:tcPr>
          <w:p w14:paraId="24834D3C">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确定控制系统内部软件工作是否正常，若异常及时对其进行故障判断解决。</w:t>
            </w:r>
          </w:p>
        </w:tc>
      </w:tr>
      <w:tr w14:paraId="2C6E6E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5A88FF44">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2EC1FC88">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1D72AE8B">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系统备份检查</w:t>
            </w:r>
          </w:p>
        </w:tc>
        <w:tc>
          <w:tcPr>
            <w:tcW w:w="3014" w:type="pct"/>
            <w:tcBorders>
              <w:top w:val="nil"/>
              <w:left w:val="nil"/>
              <w:bottom w:val="single" w:color="000000" w:sz="4" w:space="0"/>
              <w:right w:val="single" w:color="000000" w:sz="4" w:space="0"/>
            </w:tcBorders>
            <w:shd w:val="clear" w:color="auto" w:fill="FFFFFF"/>
            <w:vAlign w:val="center"/>
          </w:tcPr>
          <w:p w14:paraId="50228361">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对系统进行备份，以便在发生灾难性故障时能够及时有效的恢复系统。</w:t>
            </w:r>
          </w:p>
        </w:tc>
      </w:tr>
      <w:tr w14:paraId="7F5904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1662A96E">
            <w:pPr>
              <w:pStyle w:val="9"/>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694" w:type="pct"/>
            <w:vMerge w:val="restart"/>
            <w:tcBorders>
              <w:top w:val="nil"/>
              <w:left w:val="nil"/>
              <w:bottom w:val="single" w:color="000000" w:sz="4" w:space="0"/>
              <w:right w:val="single" w:color="000000" w:sz="4" w:space="0"/>
            </w:tcBorders>
            <w:shd w:val="clear" w:color="auto" w:fill="FFFFFF"/>
            <w:vAlign w:val="center"/>
          </w:tcPr>
          <w:p w14:paraId="59A8F0E0">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网络连接</w:t>
            </w:r>
          </w:p>
        </w:tc>
        <w:tc>
          <w:tcPr>
            <w:tcW w:w="904" w:type="pct"/>
            <w:tcBorders>
              <w:top w:val="nil"/>
              <w:left w:val="nil"/>
              <w:bottom w:val="single" w:color="000000" w:sz="4" w:space="0"/>
              <w:right w:val="single" w:color="000000" w:sz="4" w:space="0"/>
            </w:tcBorders>
            <w:shd w:val="clear" w:color="auto" w:fill="FFFFFF"/>
            <w:vAlign w:val="center"/>
          </w:tcPr>
          <w:p w14:paraId="75831513">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路由器硬件检查</w:t>
            </w:r>
          </w:p>
        </w:tc>
        <w:tc>
          <w:tcPr>
            <w:tcW w:w="3014" w:type="pct"/>
            <w:tcBorders>
              <w:top w:val="nil"/>
              <w:left w:val="nil"/>
              <w:bottom w:val="single" w:color="000000" w:sz="4" w:space="0"/>
              <w:right w:val="single" w:color="000000" w:sz="4" w:space="0"/>
            </w:tcBorders>
            <w:shd w:val="clear" w:color="auto" w:fill="FFFFFF"/>
            <w:vAlign w:val="center"/>
          </w:tcPr>
          <w:p w14:paraId="75F306DE">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检查路由器硬件，根据具体的硬件环境确定其工作状态。</w:t>
            </w:r>
          </w:p>
        </w:tc>
      </w:tr>
      <w:tr w14:paraId="7EDA9B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310C9845">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4FAA50EF">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07B287F1">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路由器连通性、安全性检查</w:t>
            </w:r>
          </w:p>
        </w:tc>
        <w:tc>
          <w:tcPr>
            <w:tcW w:w="3014" w:type="pct"/>
            <w:tcBorders>
              <w:top w:val="nil"/>
              <w:left w:val="nil"/>
              <w:bottom w:val="single" w:color="000000" w:sz="4" w:space="0"/>
              <w:right w:val="single" w:color="000000" w:sz="4" w:space="0"/>
            </w:tcBorders>
            <w:shd w:val="clear" w:color="auto" w:fill="FFFFFF"/>
            <w:vAlign w:val="center"/>
          </w:tcPr>
          <w:p w14:paraId="5D82E3DE">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对路由器进行网络联通性和安全测试，发现并对所发现的安全漏洞进行处理。</w:t>
            </w:r>
          </w:p>
        </w:tc>
      </w:tr>
      <w:tr w14:paraId="03D38C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BBFE3B8">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04B2D184">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1020E7F8">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交换机硬件检查</w:t>
            </w:r>
          </w:p>
        </w:tc>
        <w:tc>
          <w:tcPr>
            <w:tcW w:w="3014" w:type="pct"/>
            <w:tcBorders>
              <w:top w:val="nil"/>
              <w:left w:val="nil"/>
              <w:bottom w:val="single" w:color="000000" w:sz="4" w:space="0"/>
              <w:right w:val="single" w:color="000000" w:sz="4" w:space="0"/>
            </w:tcBorders>
            <w:shd w:val="clear" w:color="auto" w:fill="FFFFFF"/>
            <w:vAlign w:val="center"/>
          </w:tcPr>
          <w:p w14:paraId="2490BDC2">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对交换机进行硬件检查，确定其工作状态，及时发现并解决出现的硬件故障。</w:t>
            </w:r>
          </w:p>
        </w:tc>
      </w:tr>
      <w:tr w14:paraId="64FDFA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763E8D83">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4C947DDA">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0FE4F54A">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交换机联通性检查</w:t>
            </w:r>
          </w:p>
        </w:tc>
        <w:tc>
          <w:tcPr>
            <w:tcW w:w="3014" w:type="pct"/>
            <w:tcBorders>
              <w:top w:val="nil"/>
              <w:left w:val="nil"/>
              <w:bottom w:val="single" w:color="000000" w:sz="4" w:space="0"/>
              <w:right w:val="single" w:color="000000" w:sz="4" w:space="0"/>
            </w:tcBorders>
            <w:shd w:val="clear" w:color="auto" w:fill="FFFFFF"/>
            <w:vAlign w:val="center"/>
          </w:tcPr>
          <w:p w14:paraId="35DBA870">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对交换机进行数据包交换测试。确定其各端口数据交换的联通性。</w:t>
            </w:r>
          </w:p>
        </w:tc>
      </w:tr>
      <w:tr w14:paraId="5FE875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7C527E6B">
            <w:pPr>
              <w:pStyle w:val="9"/>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694" w:type="pct"/>
            <w:vMerge w:val="restart"/>
            <w:tcBorders>
              <w:top w:val="nil"/>
              <w:left w:val="nil"/>
              <w:bottom w:val="single" w:color="000000" w:sz="4" w:space="0"/>
              <w:right w:val="single" w:color="000000" w:sz="4" w:space="0"/>
            </w:tcBorders>
            <w:shd w:val="clear" w:color="auto" w:fill="FFFFFF"/>
            <w:vAlign w:val="center"/>
          </w:tcPr>
          <w:p w14:paraId="49A530C7">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应用软件</w:t>
            </w:r>
          </w:p>
        </w:tc>
        <w:tc>
          <w:tcPr>
            <w:tcW w:w="904" w:type="pct"/>
            <w:tcBorders>
              <w:top w:val="nil"/>
              <w:left w:val="nil"/>
              <w:bottom w:val="single" w:color="000000" w:sz="4" w:space="0"/>
              <w:right w:val="single" w:color="000000" w:sz="4" w:space="0"/>
            </w:tcBorders>
            <w:shd w:val="clear" w:color="auto" w:fill="FFFFFF"/>
            <w:vAlign w:val="center"/>
          </w:tcPr>
          <w:p w14:paraId="7CF6DE5C">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监测系统软件</w:t>
            </w:r>
          </w:p>
        </w:tc>
        <w:tc>
          <w:tcPr>
            <w:tcW w:w="3014" w:type="pct"/>
            <w:tcBorders>
              <w:top w:val="nil"/>
              <w:left w:val="nil"/>
              <w:bottom w:val="single" w:color="000000" w:sz="4" w:space="0"/>
              <w:right w:val="single" w:color="000000" w:sz="4" w:space="0"/>
            </w:tcBorders>
            <w:shd w:val="clear" w:color="auto" w:fill="FFFFFF"/>
            <w:vAlign w:val="center"/>
          </w:tcPr>
          <w:p w14:paraId="4E7FA203">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检查软件是否正常开启，能否正常控制接收机并分析、处理、保存监测数据。</w:t>
            </w:r>
          </w:p>
        </w:tc>
      </w:tr>
      <w:tr w14:paraId="7499F1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42C24D09">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565DEF8A">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2BAB2F7F">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办公系统</w:t>
            </w:r>
          </w:p>
        </w:tc>
        <w:tc>
          <w:tcPr>
            <w:tcW w:w="3014" w:type="pct"/>
            <w:tcBorders>
              <w:top w:val="nil"/>
              <w:left w:val="nil"/>
              <w:bottom w:val="single" w:color="000000" w:sz="4" w:space="0"/>
              <w:right w:val="single" w:color="000000" w:sz="4" w:space="0"/>
            </w:tcBorders>
            <w:shd w:val="clear" w:color="auto" w:fill="FFFFFF"/>
            <w:vAlign w:val="center"/>
          </w:tcPr>
          <w:p w14:paraId="216CDCEA">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14:paraId="7482A3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D80AC9B">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520F5573">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5D9107EE">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信息安全防护软件</w:t>
            </w:r>
          </w:p>
        </w:tc>
        <w:tc>
          <w:tcPr>
            <w:tcW w:w="3014" w:type="pct"/>
            <w:tcBorders>
              <w:top w:val="nil"/>
              <w:left w:val="nil"/>
              <w:bottom w:val="single" w:color="000000" w:sz="4" w:space="0"/>
              <w:right w:val="single" w:color="000000" w:sz="4" w:space="0"/>
            </w:tcBorders>
            <w:shd w:val="clear" w:color="auto" w:fill="FFFFFF"/>
            <w:vAlign w:val="center"/>
          </w:tcPr>
          <w:p w14:paraId="7DAD6B6D">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检查是否安装并开启信息安全防护软件。</w:t>
            </w:r>
          </w:p>
        </w:tc>
      </w:tr>
      <w:tr w14:paraId="7DD50D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36BAE38D">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274F610D">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0C773CB4">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视频会议系统软件</w:t>
            </w:r>
          </w:p>
        </w:tc>
        <w:tc>
          <w:tcPr>
            <w:tcW w:w="3014" w:type="pct"/>
            <w:tcBorders>
              <w:top w:val="nil"/>
              <w:left w:val="nil"/>
              <w:bottom w:val="single" w:color="000000" w:sz="4" w:space="0"/>
              <w:right w:val="single" w:color="000000" w:sz="4" w:space="0"/>
            </w:tcBorders>
            <w:shd w:val="clear" w:color="auto" w:fill="FFFFFF"/>
            <w:vAlign w:val="center"/>
          </w:tcPr>
          <w:p w14:paraId="67EA9E36">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14:paraId="25C6B8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EAAC8EC">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17D30285">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36848B7A">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其他应用软件</w:t>
            </w:r>
          </w:p>
        </w:tc>
        <w:tc>
          <w:tcPr>
            <w:tcW w:w="3014" w:type="pct"/>
            <w:tcBorders>
              <w:top w:val="nil"/>
              <w:left w:val="nil"/>
              <w:bottom w:val="single" w:color="000000" w:sz="4" w:space="0"/>
              <w:right w:val="single" w:color="000000" w:sz="4" w:space="0"/>
            </w:tcBorders>
            <w:shd w:val="clear" w:color="auto" w:fill="FFFFFF"/>
            <w:vAlign w:val="center"/>
          </w:tcPr>
          <w:p w14:paraId="3B71BF79">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14:paraId="5EC3C9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6C853C36">
            <w:pPr>
              <w:pStyle w:val="9"/>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p>
        </w:tc>
        <w:tc>
          <w:tcPr>
            <w:tcW w:w="694" w:type="pct"/>
            <w:vMerge w:val="restart"/>
            <w:tcBorders>
              <w:top w:val="nil"/>
              <w:left w:val="nil"/>
              <w:bottom w:val="single" w:color="000000" w:sz="4" w:space="0"/>
              <w:right w:val="single" w:color="000000" w:sz="4" w:space="0"/>
            </w:tcBorders>
            <w:shd w:val="clear" w:color="auto" w:fill="FFFFFF"/>
            <w:vAlign w:val="center"/>
          </w:tcPr>
          <w:p w14:paraId="3A309609">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视频会议系统</w:t>
            </w:r>
          </w:p>
        </w:tc>
        <w:tc>
          <w:tcPr>
            <w:tcW w:w="904" w:type="pct"/>
            <w:tcBorders>
              <w:top w:val="nil"/>
              <w:left w:val="nil"/>
              <w:bottom w:val="single" w:color="000000" w:sz="4" w:space="0"/>
              <w:right w:val="single" w:color="000000" w:sz="4" w:space="0"/>
            </w:tcBorders>
            <w:shd w:val="clear" w:color="auto" w:fill="FFFFFF"/>
            <w:vAlign w:val="center"/>
          </w:tcPr>
          <w:p w14:paraId="1A7632BF">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大屏显示设备检查</w:t>
            </w:r>
          </w:p>
        </w:tc>
        <w:tc>
          <w:tcPr>
            <w:tcW w:w="3014" w:type="pct"/>
            <w:tcBorders>
              <w:top w:val="nil"/>
              <w:left w:val="nil"/>
              <w:bottom w:val="single" w:color="000000" w:sz="4" w:space="0"/>
              <w:right w:val="single" w:color="000000" w:sz="4" w:space="0"/>
            </w:tcBorders>
            <w:shd w:val="clear" w:color="auto" w:fill="FFFFFF"/>
            <w:vAlign w:val="center"/>
          </w:tcPr>
          <w:p w14:paraId="322DD138">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14:paraId="10BE40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5771D023">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7B3DAFC5">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5CF30978">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音响设备检查</w:t>
            </w:r>
          </w:p>
        </w:tc>
        <w:tc>
          <w:tcPr>
            <w:tcW w:w="3014" w:type="pct"/>
            <w:tcBorders>
              <w:top w:val="nil"/>
              <w:left w:val="nil"/>
              <w:bottom w:val="single" w:color="000000" w:sz="4" w:space="0"/>
              <w:right w:val="single" w:color="000000" w:sz="4" w:space="0"/>
            </w:tcBorders>
            <w:shd w:val="clear" w:color="auto" w:fill="FFFFFF"/>
            <w:vAlign w:val="center"/>
          </w:tcPr>
          <w:p w14:paraId="55238FAC">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14:paraId="4F0A3E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753FF862">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530CE8F3">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D6525CE">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视频会议设备检查</w:t>
            </w:r>
          </w:p>
        </w:tc>
        <w:tc>
          <w:tcPr>
            <w:tcW w:w="3014" w:type="pct"/>
            <w:tcBorders>
              <w:top w:val="nil"/>
              <w:left w:val="nil"/>
              <w:bottom w:val="single" w:color="000000" w:sz="4" w:space="0"/>
              <w:right w:val="single" w:color="000000" w:sz="4" w:space="0"/>
            </w:tcBorders>
            <w:shd w:val="clear" w:color="auto" w:fill="FFFFFF"/>
            <w:vAlign w:val="center"/>
          </w:tcPr>
          <w:p w14:paraId="67D739A1">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14:paraId="1E4500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007AE633">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4EBDC1F4">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422AD24B">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机房集成设备检查</w:t>
            </w:r>
          </w:p>
        </w:tc>
        <w:tc>
          <w:tcPr>
            <w:tcW w:w="3014" w:type="pct"/>
            <w:tcBorders>
              <w:top w:val="nil"/>
              <w:left w:val="nil"/>
              <w:bottom w:val="single" w:color="000000" w:sz="4" w:space="0"/>
              <w:right w:val="single" w:color="000000" w:sz="4" w:space="0"/>
            </w:tcBorders>
            <w:shd w:val="clear" w:color="auto" w:fill="FFFFFF"/>
            <w:vAlign w:val="center"/>
          </w:tcPr>
          <w:p w14:paraId="2E38AB83">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14:paraId="6A9615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6A90E4C8">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02AEDE9D">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495021FF">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机房配件检查</w:t>
            </w:r>
          </w:p>
        </w:tc>
        <w:tc>
          <w:tcPr>
            <w:tcW w:w="3014" w:type="pct"/>
            <w:tcBorders>
              <w:top w:val="nil"/>
              <w:left w:val="nil"/>
              <w:bottom w:val="single" w:color="000000" w:sz="4" w:space="0"/>
              <w:right w:val="single" w:color="000000" w:sz="4" w:space="0"/>
            </w:tcBorders>
            <w:shd w:val="clear" w:color="auto" w:fill="FFFFFF"/>
            <w:vAlign w:val="center"/>
          </w:tcPr>
          <w:p w14:paraId="471323BE">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检查网线、配线和电源插座等是否正常工作。</w:t>
            </w:r>
          </w:p>
        </w:tc>
      </w:tr>
      <w:tr w14:paraId="5FD74F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66B3DF0E">
            <w:pPr>
              <w:pStyle w:val="9"/>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694" w:type="pct"/>
            <w:vMerge w:val="restart"/>
            <w:tcBorders>
              <w:top w:val="nil"/>
              <w:left w:val="nil"/>
              <w:bottom w:val="single" w:color="000000" w:sz="4" w:space="0"/>
              <w:right w:val="single" w:color="000000" w:sz="4" w:space="0"/>
            </w:tcBorders>
            <w:shd w:val="clear" w:color="auto" w:fill="FFFFFF"/>
            <w:vAlign w:val="center"/>
          </w:tcPr>
          <w:p w14:paraId="5666ED98">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环境监控系统</w:t>
            </w:r>
          </w:p>
        </w:tc>
        <w:tc>
          <w:tcPr>
            <w:tcW w:w="904" w:type="pct"/>
            <w:tcBorders>
              <w:top w:val="nil"/>
              <w:left w:val="nil"/>
              <w:bottom w:val="single" w:color="000000" w:sz="4" w:space="0"/>
              <w:right w:val="single" w:color="000000" w:sz="4" w:space="0"/>
            </w:tcBorders>
            <w:shd w:val="clear" w:color="auto" w:fill="FFFFFF"/>
            <w:vAlign w:val="center"/>
          </w:tcPr>
          <w:p w14:paraId="062C7A43">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门窗防盗检查</w:t>
            </w:r>
          </w:p>
        </w:tc>
        <w:tc>
          <w:tcPr>
            <w:tcW w:w="3014" w:type="pct"/>
            <w:tcBorders>
              <w:top w:val="nil"/>
              <w:left w:val="nil"/>
              <w:bottom w:val="single" w:color="000000" w:sz="4" w:space="0"/>
              <w:right w:val="single" w:color="000000" w:sz="4" w:space="0"/>
            </w:tcBorders>
            <w:shd w:val="clear" w:color="auto" w:fill="FFFFFF"/>
            <w:vAlign w:val="center"/>
          </w:tcPr>
          <w:p w14:paraId="065D1590">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检查门窗是否完好，每次出入机房按规定关好门窗。</w:t>
            </w:r>
          </w:p>
        </w:tc>
      </w:tr>
      <w:tr w14:paraId="4AD065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A103B85">
            <w:pPr>
              <w:jc w:val="both"/>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07DA661B">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25D42C95">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消防检查</w:t>
            </w:r>
          </w:p>
        </w:tc>
        <w:tc>
          <w:tcPr>
            <w:tcW w:w="3014" w:type="pct"/>
            <w:tcBorders>
              <w:top w:val="nil"/>
              <w:left w:val="nil"/>
              <w:bottom w:val="single" w:color="000000" w:sz="4" w:space="0"/>
              <w:right w:val="single" w:color="000000" w:sz="4" w:space="0"/>
            </w:tcBorders>
            <w:shd w:val="clear" w:color="auto" w:fill="FFFFFF"/>
            <w:vAlign w:val="center"/>
          </w:tcPr>
          <w:p w14:paraId="1EEE1C2E">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检查消防器材是否在检查时间范围内，检查室外消火栓系统、防排烟设施和灭火设施的维护情况。</w:t>
            </w:r>
          </w:p>
        </w:tc>
      </w:tr>
      <w:tr w14:paraId="4BD22A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325F755D">
            <w:pPr>
              <w:jc w:val="both"/>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4F4877DF">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35BAC729">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监控检查</w:t>
            </w:r>
          </w:p>
        </w:tc>
        <w:tc>
          <w:tcPr>
            <w:tcW w:w="3014" w:type="pct"/>
            <w:tcBorders>
              <w:top w:val="nil"/>
              <w:left w:val="nil"/>
              <w:bottom w:val="single" w:color="000000" w:sz="4" w:space="0"/>
              <w:right w:val="single" w:color="000000" w:sz="4" w:space="0"/>
            </w:tcBorders>
            <w:shd w:val="clear" w:color="auto" w:fill="FFFFFF"/>
            <w:vAlign w:val="center"/>
          </w:tcPr>
          <w:p w14:paraId="588E40B0">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检查监控是否正常工作，摄像头位置是否正常，影像存储是否正常。</w:t>
            </w:r>
          </w:p>
        </w:tc>
      </w:tr>
      <w:tr w14:paraId="485F50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34A75D01">
            <w:pPr>
              <w:jc w:val="both"/>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639BA5C7">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3A03A635">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空调检查</w:t>
            </w:r>
          </w:p>
        </w:tc>
        <w:tc>
          <w:tcPr>
            <w:tcW w:w="3014" w:type="pct"/>
            <w:tcBorders>
              <w:top w:val="nil"/>
              <w:left w:val="nil"/>
              <w:bottom w:val="single" w:color="000000" w:sz="4" w:space="0"/>
              <w:right w:val="single" w:color="000000" w:sz="4" w:space="0"/>
            </w:tcBorders>
            <w:shd w:val="clear" w:color="auto" w:fill="FFFFFF"/>
            <w:vAlign w:val="center"/>
          </w:tcPr>
          <w:p w14:paraId="1D988143">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14:paraId="720C7E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1DCD1BE3">
            <w:pPr>
              <w:jc w:val="both"/>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3EAD1D00">
            <w:pPr>
              <w:jc w:val="both"/>
              <w:rPr>
                <w:rFonts w:hint="eastAsia" w:ascii="宋体" w:hAnsi="宋体" w:eastAsia="宋体" w:cs="宋体"/>
                <w:kern w:val="0"/>
                <w:sz w:val="24"/>
                <w:szCs w:val="24"/>
                <w:lang w:val="en-US" w:eastAsia="zh-CN" w:bidi="ar"/>
              </w:rPr>
            </w:pPr>
          </w:p>
        </w:tc>
        <w:tc>
          <w:tcPr>
            <w:tcW w:w="904" w:type="pct"/>
            <w:vMerge w:val="restart"/>
            <w:tcBorders>
              <w:top w:val="nil"/>
              <w:left w:val="nil"/>
              <w:bottom w:val="single" w:color="000000" w:sz="4" w:space="0"/>
              <w:right w:val="single" w:color="000000" w:sz="4" w:space="0"/>
            </w:tcBorders>
            <w:shd w:val="clear" w:color="auto" w:fill="FFFFFF"/>
            <w:vAlign w:val="center"/>
          </w:tcPr>
          <w:p w14:paraId="7E1F056F">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机房检查</w:t>
            </w:r>
          </w:p>
        </w:tc>
        <w:tc>
          <w:tcPr>
            <w:tcW w:w="3014" w:type="pct"/>
            <w:tcBorders>
              <w:top w:val="nil"/>
              <w:left w:val="nil"/>
              <w:bottom w:val="single" w:color="000000" w:sz="4" w:space="0"/>
              <w:right w:val="single" w:color="000000" w:sz="4" w:space="0"/>
            </w:tcBorders>
            <w:shd w:val="clear" w:color="auto" w:fill="FFFFFF"/>
            <w:vAlign w:val="center"/>
          </w:tcPr>
          <w:p w14:paraId="7235D362">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检查机柜安全可靠牢固，检查机柜散热风扇运行情况正常。</w:t>
            </w:r>
          </w:p>
        </w:tc>
      </w:tr>
      <w:tr w14:paraId="767C12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3082A509">
            <w:pPr>
              <w:jc w:val="both"/>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52AACE0C">
            <w:pPr>
              <w:jc w:val="both"/>
              <w:rPr>
                <w:rFonts w:hint="eastAsia" w:ascii="宋体" w:hAnsi="宋体" w:eastAsia="宋体" w:cs="宋体"/>
                <w:kern w:val="0"/>
                <w:sz w:val="24"/>
                <w:szCs w:val="24"/>
                <w:lang w:val="en-US" w:eastAsia="zh-CN" w:bidi="ar"/>
              </w:rPr>
            </w:pPr>
          </w:p>
        </w:tc>
        <w:tc>
          <w:tcPr>
            <w:tcW w:w="904" w:type="pct"/>
            <w:vMerge w:val="continue"/>
            <w:tcBorders>
              <w:top w:val="nil"/>
              <w:left w:val="nil"/>
              <w:bottom w:val="single" w:color="000000" w:sz="4" w:space="0"/>
              <w:right w:val="single" w:color="000000" w:sz="4" w:space="0"/>
            </w:tcBorders>
            <w:vAlign w:val="center"/>
          </w:tcPr>
          <w:p w14:paraId="59F249CB">
            <w:pPr>
              <w:jc w:val="both"/>
              <w:rPr>
                <w:rFonts w:hint="eastAsia" w:ascii="宋体" w:hAnsi="宋体" w:eastAsia="宋体" w:cs="宋体"/>
                <w:kern w:val="0"/>
                <w:sz w:val="24"/>
                <w:szCs w:val="24"/>
                <w:lang w:val="en-US" w:eastAsia="zh-CN" w:bidi="ar"/>
              </w:rPr>
            </w:pPr>
          </w:p>
        </w:tc>
        <w:tc>
          <w:tcPr>
            <w:tcW w:w="3014" w:type="pct"/>
            <w:tcBorders>
              <w:top w:val="nil"/>
              <w:left w:val="nil"/>
              <w:bottom w:val="single" w:color="000000" w:sz="4" w:space="0"/>
              <w:right w:val="single" w:color="000000" w:sz="4" w:space="0"/>
            </w:tcBorders>
            <w:shd w:val="clear" w:color="auto" w:fill="FFFFFF"/>
            <w:vAlign w:val="center"/>
          </w:tcPr>
          <w:p w14:paraId="0946BB17">
            <w:pPr>
              <w:pStyle w:val="9"/>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对设备进行除尘，对机柜进行清洁维护。</w:t>
            </w:r>
          </w:p>
        </w:tc>
      </w:tr>
    </w:tbl>
    <w:p w14:paraId="17B63D1E">
      <w:pPr>
        <w:numPr>
          <w:ilvl w:val="0"/>
          <w:numId w:val="0"/>
        </w:numPr>
        <w:ind w:leftChars="0" w:firstLine="640" w:firstLineChars="200"/>
        <w:rPr>
          <w:rFonts w:hint="default" w:ascii="仿宋_GB2312" w:hAnsi="宋体" w:eastAsia="仿宋_GB2312"/>
          <w:sz w:val="32"/>
          <w:lang w:val="en-US" w:eastAsia="zh-CN"/>
        </w:rPr>
      </w:pPr>
      <w:r>
        <w:rPr>
          <w:rFonts w:hint="eastAsia" w:ascii="仿宋_GB2312" w:hAnsi="宋体" w:eastAsia="仿宋_GB2312"/>
          <w:sz w:val="32"/>
          <w:lang w:eastAsia="zh-CN"/>
        </w:rPr>
        <w:t>（</w:t>
      </w:r>
      <w:r>
        <w:rPr>
          <w:rFonts w:hint="eastAsia" w:ascii="仿宋_GB2312" w:hAnsi="宋体" w:eastAsia="仿宋_GB2312"/>
          <w:sz w:val="32"/>
          <w:lang w:val="en-US" w:eastAsia="zh-CN"/>
        </w:rPr>
        <w:t>4</w:t>
      </w:r>
      <w:r>
        <w:rPr>
          <w:rFonts w:hint="eastAsia" w:ascii="仿宋_GB2312" w:hAnsi="宋体" w:eastAsia="仿宋_GB2312"/>
          <w:sz w:val="32"/>
          <w:lang w:eastAsia="zh-CN"/>
        </w:rPr>
        <w:t>）</w:t>
      </w:r>
      <w:r>
        <w:rPr>
          <w:rFonts w:hint="eastAsia" w:ascii="仿宋_GB2312" w:hAnsi="宋体" w:eastAsia="仿宋_GB2312"/>
          <w:sz w:val="32"/>
          <w:lang w:val="en-US" w:eastAsia="zh-CN"/>
        </w:rPr>
        <w:t>网络机房</w:t>
      </w:r>
    </w:p>
    <w:p w14:paraId="1776FE8B">
      <w:pPr>
        <w:pStyle w:val="2"/>
        <w:rPr>
          <w:rFonts w:hint="default" w:ascii="仿宋_GB2312" w:hAnsi="宋体" w:eastAsia="仿宋_GB2312"/>
          <w:color w:val="auto"/>
          <w:sz w:val="32"/>
          <w:lang w:val="en-US" w:eastAsia="zh-CN"/>
        </w:rPr>
      </w:pPr>
      <w:r>
        <w:rPr>
          <w:rFonts w:hint="eastAsia" w:ascii="仿宋_GB2312" w:hAnsi="宋体" w:eastAsia="仿宋_GB2312"/>
          <w:color w:val="auto"/>
          <w:sz w:val="32"/>
          <w:lang w:eastAsia="zh-CN"/>
        </w:rPr>
        <w:t>机房内线路整理：根据招标人的需求，在合同期内至少开展</w:t>
      </w:r>
      <w:r>
        <w:rPr>
          <w:rFonts w:hint="eastAsia" w:ascii="仿宋_GB2312" w:hAnsi="宋体" w:eastAsia="仿宋_GB2312"/>
          <w:color w:val="auto"/>
          <w:sz w:val="32"/>
          <w:lang w:val="en-US" w:eastAsia="zh-CN"/>
        </w:rPr>
        <w:t>1次。线路整理的内容包含但不限于：对</w:t>
      </w:r>
      <w:r>
        <w:rPr>
          <w:rFonts w:hint="eastAsia" w:ascii="仿宋_GB2312" w:hAnsi="宋体" w:eastAsia="仿宋_GB2312"/>
          <w:color w:val="auto"/>
          <w:sz w:val="32"/>
          <w:lang w:eastAsia="zh-CN"/>
        </w:rPr>
        <w:t>机房内设备间连接线的整理，达到规范整洁的要求；根据实际连接情况做好标签；对不合理的线路进行重新拉线布置等。</w:t>
      </w:r>
    </w:p>
    <w:p w14:paraId="78E09AE0">
      <w:pPr>
        <w:pStyle w:val="2"/>
        <w:rPr>
          <w:rFonts w:hint="default"/>
          <w:lang w:val="en-US" w:eastAsia="zh-CN"/>
        </w:rPr>
      </w:pPr>
      <w:r>
        <w:rPr>
          <w:rFonts w:hint="eastAsia" w:ascii="仿宋_GB2312" w:hAnsi="宋体" w:eastAsia="仿宋_GB2312"/>
          <w:sz w:val="32"/>
          <w:lang w:eastAsia="zh-CN"/>
        </w:rPr>
        <w:t>现场巡检内容具体如下（巡检内容应根据国家和省有关监测设施巡检规范和要求实时更新调整）：</w:t>
      </w:r>
    </w:p>
    <w:tbl>
      <w:tblPr>
        <w:tblStyle w:val="6"/>
        <w:tblW w:w="8850" w:type="dxa"/>
        <w:tblInd w:w="-2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630"/>
        <w:gridCol w:w="1290"/>
        <w:gridCol w:w="2115"/>
        <w:gridCol w:w="4815"/>
      </w:tblGrid>
      <w:tr w14:paraId="1C78D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85" w:hRule="atLeast"/>
        </w:trPr>
        <w:tc>
          <w:tcPr>
            <w:tcW w:w="630" w:type="dxa"/>
            <w:vMerge w:val="restart"/>
            <w:tcBorders>
              <w:tl2br w:val="nil"/>
              <w:tr2bl w:val="nil"/>
            </w:tcBorders>
            <w:shd w:val="clear" w:color="auto" w:fill="auto"/>
            <w:tcMar>
              <w:top w:w="15" w:type="dxa"/>
              <w:left w:w="15" w:type="dxa"/>
              <w:right w:w="15" w:type="dxa"/>
            </w:tcMar>
            <w:vAlign w:val="center"/>
          </w:tcPr>
          <w:p w14:paraId="4702D935">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90" w:type="dxa"/>
            <w:vMerge w:val="restart"/>
            <w:tcBorders>
              <w:tl2br w:val="nil"/>
              <w:tr2bl w:val="nil"/>
            </w:tcBorders>
            <w:shd w:val="clear" w:color="auto" w:fill="auto"/>
            <w:tcMar>
              <w:top w:w="15" w:type="dxa"/>
              <w:left w:w="15" w:type="dxa"/>
              <w:right w:w="15" w:type="dxa"/>
            </w:tcMar>
            <w:vAlign w:val="center"/>
          </w:tcPr>
          <w:p w14:paraId="1B395BD0">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巡检设备</w:t>
            </w:r>
          </w:p>
        </w:tc>
        <w:tc>
          <w:tcPr>
            <w:tcW w:w="2115" w:type="dxa"/>
            <w:vMerge w:val="restart"/>
            <w:tcBorders>
              <w:tl2br w:val="nil"/>
              <w:tr2bl w:val="nil"/>
            </w:tcBorders>
            <w:shd w:val="clear" w:color="auto" w:fill="auto"/>
            <w:tcMar>
              <w:top w:w="15" w:type="dxa"/>
              <w:left w:w="15" w:type="dxa"/>
              <w:right w:w="15" w:type="dxa"/>
            </w:tcMar>
            <w:vAlign w:val="center"/>
          </w:tcPr>
          <w:p w14:paraId="140039EC">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巡检项目</w:t>
            </w:r>
          </w:p>
        </w:tc>
        <w:tc>
          <w:tcPr>
            <w:tcW w:w="4815" w:type="dxa"/>
            <w:vMerge w:val="restart"/>
            <w:tcBorders>
              <w:tl2br w:val="nil"/>
              <w:tr2bl w:val="nil"/>
            </w:tcBorders>
            <w:shd w:val="clear" w:color="auto" w:fill="auto"/>
            <w:tcMar>
              <w:top w:w="15" w:type="dxa"/>
              <w:left w:w="15" w:type="dxa"/>
              <w:right w:w="15" w:type="dxa"/>
            </w:tcMar>
            <w:vAlign w:val="center"/>
          </w:tcPr>
          <w:p w14:paraId="6606688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巡检要求</w:t>
            </w:r>
          </w:p>
        </w:tc>
      </w:tr>
      <w:tr w14:paraId="4ABBD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630" w:type="dxa"/>
            <w:vMerge w:val="continue"/>
            <w:tcBorders>
              <w:tl2br w:val="nil"/>
              <w:tr2bl w:val="nil"/>
            </w:tcBorders>
            <w:shd w:val="clear" w:color="auto" w:fill="auto"/>
            <w:tcMar>
              <w:top w:w="15" w:type="dxa"/>
              <w:left w:w="15" w:type="dxa"/>
              <w:right w:w="15" w:type="dxa"/>
            </w:tcMar>
            <w:vAlign w:val="center"/>
          </w:tcPr>
          <w:p w14:paraId="0D63E959">
            <w:pPr>
              <w:jc w:val="both"/>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4ACE9EE1">
            <w:pPr>
              <w:jc w:val="both"/>
              <w:rPr>
                <w:rFonts w:hint="eastAsia" w:ascii="宋体" w:hAnsi="宋体" w:eastAsia="宋体" w:cs="宋体"/>
                <w:i w:val="0"/>
                <w:color w:val="000000"/>
                <w:sz w:val="24"/>
                <w:szCs w:val="24"/>
                <w:u w:val="none"/>
              </w:rPr>
            </w:pPr>
          </w:p>
        </w:tc>
        <w:tc>
          <w:tcPr>
            <w:tcW w:w="2115" w:type="dxa"/>
            <w:vMerge w:val="continue"/>
            <w:tcBorders>
              <w:tl2br w:val="nil"/>
              <w:tr2bl w:val="nil"/>
            </w:tcBorders>
            <w:shd w:val="clear" w:color="auto" w:fill="auto"/>
            <w:tcMar>
              <w:top w:w="15" w:type="dxa"/>
              <w:left w:w="15" w:type="dxa"/>
              <w:right w:w="15" w:type="dxa"/>
            </w:tcMar>
            <w:vAlign w:val="center"/>
          </w:tcPr>
          <w:p w14:paraId="064EE607">
            <w:pPr>
              <w:jc w:val="both"/>
              <w:rPr>
                <w:rFonts w:hint="eastAsia" w:ascii="宋体" w:hAnsi="宋体" w:eastAsia="宋体" w:cs="宋体"/>
                <w:i w:val="0"/>
                <w:color w:val="000000"/>
                <w:sz w:val="24"/>
                <w:szCs w:val="24"/>
                <w:u w:val="none"/>
              </w:rPr>
            </w:pPr>
          </w:p>
        </w:tc>
        <w:tc>
          <w:tcPr>
            <w:tcW w:w="4815" w:type="dxa"/>
            <w:vMerge w:val="continue"/>
            <w:tcBorders>
              <w:tl2br w:val="nil"/>
              <w:tr2bl w:val="nil"/>
            </w:tcBorders>
            <w:shd w:val="clear" w:color="auto" w:fill="auto"/>
            <w:tcMar>
              <w:top w:w="15" w:type="dxa"/>
              <w:left w:w="15" w:type="dxa"/>
              <w:right w:w="15" w:type="dxa"/>
            </w:tcMar>
            <w:vAlign w:val="center"/>
          </w:tcPr>
          <w:p w14:paraId="1CD2C621">
            <w:pPr>
              <w:jc w:val="both"/>
              <w:rPr>
                <w:rFonts w:hint="eastAsia" w:ascii="宋体" w:hAnsi="宋体" w:eastAsia="宋体" w:cs="宋体"/>
                <w:i w:val="0"/>
                <w:color w:val="000000"/>
                <w:sz w:val="24"/>
                <w:szCs w:val="24"/>
                <w:u w:val="none"/>
              </w:rPr>
            </w:pPr>
          </w:p>
        </w:tc>
      </w:tr>
      <w:tr w14:paraId="586A4F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630" w:type="dxa"/>
            <w:vMerge w:val="restart"/>
            <w:tcBorders>
              <w:tl2br w:val="nil"/>
              <w:tr2bl w:val="nil"/>
            </w:tcBorders>
            <w:shd w:val="clear" w:color="auto" w:fill="auto"/>
            <w:tcMar>
              <w:top w:w="15" w:type="dxa"/>
              <w:left w:w="15" w:type="dxa"/>
              <w:right w:w="15" w:type="dxa"/>
            </w:tcMar>
            <w:vAlign w:val="center"/>
          </w:tcPr>
          <w:p w14:paraId="29627B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90" w:type="dxa"/>
            <w:vMerge w:val="restart"/>
            <w:tcBorders>
              <w:tl2br w:val="nil"/>
              <w:tr2bl w:val="nil"/>
            </w:tcBorders>
            <w:shd w:val="clear" w:color="auto" w:fill="auto"/>
            <w:tcMar>
              <w:top w:w="15" w:type="dxa"/>
              <w:left w:w="15" w:type="dxa"/>
              <w:right w:w="15" w:type="dxa"/>
            </w:tcMar>
            <w:vAlign w:val="center"/>
          </w:tcPr>
          <w:p w14:paraId="3666695A">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安防和消防系统</w:t>
            </w:r>
          </w:p>
        </w:tc>
        <w:tc>
          <w:tcPr>
            <w:tcW w:w="2115" w:type="dxa"/>
            <w:vMerge w:val="restart"/>
            <w:tcBorders>
              <w:tl2br w:val="nil"/>
              <w:tr2bl w:val="nil"/>
            </w:tcBorders>
            <w:shd w:val="clear" w:color="auto" w:fill="auto"/>
            <w:tcMar>
              <w:top w:w="15" w:type="dxa"/>
              <w:left w:w="15" w:type="dxa"/>
              <w:right w:w="15" w:type="dxa"/>
            </w:tcMar>
            <w:vAlign w:val="center"/>
          </w:tcPr>
          <w:p w14:paraId="1F4FC31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设备功能性测试</w:t>
            </w:r>
          </w:p>
        </w:tc>
        <w:tc>
          <w:tcPr>
            <w:tcW w:w="4815" w:type="dxa"/>
            <w:tcBorders>
              <w:tl2br w:val="nil"/>
              <w:tr2bl w:val="nil"/>
            </w:tcBorders>
            <w:shd w:val="clear" w:color="auto" w:fill="auto"/>
            <w:tcMar>
              <w:top w:w="15" w:type="dxa"/>
              <w:left w:w="15" w:type="dxa"/>
              <w:right w:w="15" w:type="dxa"/>
            </w:tcMar>
            <w:vAlign w:val="center"/>
          </w:tcPr>
          <w:p w14:paraId="4AAD091A">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消防气体钢瓶：查看压力值表数值是否正常。</w:t>
            </w:r>
          </w:p>
        </w:tc>
      </w:tr>
      <w:tr w14:paraId="04D5B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630" w:type="dxa"/>
            <w:vMerge w:val="continue"/>
            <w:tcBorders>
              <w:tl2br w:val="nil"/>
              <w:tr2bl w:val="nil"/>
            </w:tcBorders>
            <w:shd w:val="clear" w:color="auto" w:fill="auto"/>
            <w:tcMar>
              <w:top w:w="15" w:type="dxa"/>
              <w:left w:w="15" w:type="dxa"/>
              <w:right w:w="15" w:type="dxa"/>
            </w:tcMar>
            <w:vAlign w:val="center"/>
          </w:tcPr>
          <w:p w14:paraId="26A45AA0">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2F0BACE8">
            <w:pPr>
              <w:jc w:val="both"/>
              <w:rPr>
                <w:rFonts w:hint="eastAsia" w:ascii="宋体" w:hAnsi="宋体" w:eastAsia="宋体" w:cs="宋体"/>
                <w:i w:val="0"/>
                <w:color w:val="000000"/>
                <w:sz w:val="24"/>
                <w:szCs w:val="24"/>
                <w:u w:val="none"/>
              </w:rPr>
            </w:pPr>
          </w:p>
        </w:tc>
        <w:tc>
          <w:tcPr>
            <w:tcW w:w="2115" w:type="dxa"/>
            <w:vMerge w:val="continue"/>
            <w:tcBorders>
              <w:tl2br w:val="nil"/>
              <w:tr2bl w:val="nil"/>
            </w:tcBorders>
            <w:shd w:val="clear" w:color="auto" w:fill="auto"/>
            <w:tcMar>
              <w:top w:w="15" w:type="dxa"/>
              <w:left w:w="15" w:type="dxa"/>
              <w:right w:w="15" w:type="dxa"/>
            </w:tcMar>
            <w:vAlign w:val="center"/>
          </w:tcPr>
          <w:p w14:paraId="132A0BFE">
            <w:pPr>
              <w:jc w:val="both"/>
              <w:rPr>
                <w:rFonts w:hint="eastAsia" w:ascii="宋体" w:hAnsi="宋体" w:eastAsia="宋体" w:cs="宋体"/>
                <w:i w:val="0"/>
                <w:color w:val="000000"/>
                <w:sz w:val="24"/>
                <w:szCs w:val="24"/>
                <w:u w:val="none"/>
              </w:rPr>
            </w:pPr>
          </w:p>
        </w:tc>
        <w:tc>
          <w:tcPr>
            <w:tcW w:w="4815" w:type="dxa"/>
            <w:tcBorders>
              <w:tl2br w:val="nil"/>
              <w:tr2bl w:val="nil"/>
            </w:tcBorders>
            <w:shd w:val="clear" w:color="auto" w:fill="auto"/>
            <w:tcMar>
              <w:top w:w="15" w:type="dxa"/>
              <w:left w:w="15" w:type="dxa"/>
              <w:right w:w="15" w:type="dxa"/>
            </w:tcMar>
            <w:vAlign w:val="center"/>
          </w:tcPr>
          <w:p w14:paraId="6110373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烟感：对设备加烟，看是否报警。</w:t>
            </w:r>
          </w:p>
        </w:tc>
      </w:tr>
      <w:tr w14:paraId="547D4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630" w:type="dxa"/>
            <w:vMerge w:val="continue"/>
            <w:tcBorders>
              <w:tl2br w:val="nil"/>
              <w:tr2bl w:val="nil"/>
            </w:tcBorders>
            <w:shd w:val="clear" w:color="auto" w:fill="auto"/>
            <w:tcMar>
              <w:top w:w="15" w:type="dxa"/>
              <w:left w:w="15" w:type="dxa"/>
              <w:right w:w="15" w:type="dxa"/>
            </w:tcMar>
            <w:vAlign w:val="center"/>
          </w:tcPr>
          <w:p w14:paraId="3C5EF1C5">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7172F67B">
            <w:pPr>
              <w:jc w:val="both"/>
              <w:rPr>
                <w:rFonts w:hint="eastAsia" w:ascii="宋体" w:hAnsi="宋体" w:eastAsia="宋体" w:cs="宋体"/>
                <w:i w:val="0"/>
                <w:color w:val="000000"/>
                <w:sz w:val="24"/>
                <w:szCs w:val="24"/>
                <w:u w:val="none"/>
              </w:rPr>
            </w:pPr>
          </w:p>
        </w:tc>
        <w:tc>
          <w:tcPr>
            <w:tcW w:w="2115" w:type="dxa"/>
            <w:vMerge w:val="continue"/>
            <w:tcBorders>
              <w:tl2br w:val="nil"/>
              <w:tr2bl w:val="nil"/>
            </w:tcBorders>
            <w:shd w:val="clear" w:color="auto" w:fill="auto"/>
            <w:tcMar>
              <w:top w:w="15" w:type="dxa"/>
              <w:left w:w="15" w:type="dxa"/>
              <w:right w:w="15" w:type="dxa"/>
            </w:tcMar>
            <w:vAlign w:val="center"/>
          </w:tcPr>
          <w:p w14:paraId="5B846059">
            <w:pPr>
              <w:jc w:val="both"/>
              <w:rPr>
                <w:rFonts w:hint="eastAsia" w:ascii="宋体" w:hAnsi="宋体" w:eastAsia="宋体" w:cs="宋体"/>
                <w:i w:val="0"/>
                <w:color w:val="000000"/>
                <w:sz w:val="24"/>
                <w:szCs w:val="24"/>
                <w:u w:val="none"/>
              </w:rPr>
            </w:pPr>
          </w:p>
        </w:tc>
        <w:tc>
          <w:tcPr>
            <w:tcW w:w="4815" w:type="dxa"/>
            <w:tcBorders>
              <w:tl2br w:val="nil"/>
              <w:tr2bl w:val="nil"/>
            </w:tcBorders>
            <w:shd w:val="clear" w:color="auto" w:fill="auto"/>
            <w:tcMar>
              <w:top w:w="15" w:type="dxa"/>
              <w:left w:w="15" w:type="dxa"/>
              <w:right w:w="15" w:type="dxa"/>
            </w:tcMar>
            <w:vAlign w:val="center"/>
          </w:tcPr>
          <w:p w14:paraId="25A3842F">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温感：对设备加温，看是否报警。</w:t>
            </w:r>
          </w:p>
        </w:tc>
      </w:tr>
      <w:tr w14:paraId="68290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630" w:type="dxa"/>
            <w:vMerge w:val="continue"/>
            <w:tcBorders>
              <w:tl2br w:val="nil"/>
              <w:tr2bl w:val="nil"/>
            </w:tcBorders>
            <w:shd w:val="clear" w:color="auto" w:fill="auto"/>
            <w:tcMar>
              <w:top w:w="15" w:type="dxa"/>
              <w:left w:w="15" w:type="dxa"/>
              <w:right w:w="15" w:type="dxa"/>
            </w:tcMar>
            <w:vAlign w:val="center"/>
          </w:tcPr>
          <w:p w14:paraId="7769F54C">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71F1D589">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2DFC8BD5">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机房门禁</w:t>
            </w:r>
          </w:p>
        </w:tc>
        <w:tc>
          <w:tcPr>
            <w:tcW w:w="4815" w:type="dxa"/>
            <w:tcBorders>
              <w:tl2br w:val="nil"/>
              <w:tr2bl w:val="nil"/>
            </w:tcBorders>
            <w:shd w:val="clear" w:color="auto" w:fill="auto"/>
            <w:tcMar>
              <w:top w:w="15" w:type="dxa"/>
              <w:left w:w="15" w:type="dxa"/>
              <w:right w:w="15" w:type="dxa"/>
            </w:tcMar>
            <w:vAlign w:val="center"/>
          </w:tcPr>
          <w:p w14:paraId="4F5C5034">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门禁系统使用是否正常。</w:t>
            </w:r>
          </w:p>
        </w:tc>
      </w:tr>
      <w:tr w14:paraId="09933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630" w:type="dxa"/>
            <w:vMerge w:val="continue"/>
            <w:tcBorders>
              <w:tl2br w:val="nil"/>
              <w:tr2bl w:val="nil"/>
            </w:tcBorders>
            <w:shd w:val="clear" w:color="auto" w:fill="auto"/>
            <w:tcMar>
              <w:top w:w="15" w:type="dxa"/>
              <w:left w:w="15" w:type="dxa"/>
              <w:right w:w="15" w:type="dxa"/>
            </w:tcMar>
            <w:vAlign w:val="center"/>
          </w:tcPr>
          <w:p w14:paraId="61401350">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3AE1053A">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5FF5A39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设备外观</w:t>
            </w:r>
          </w:p>
        </w:tc>
        <w:tc>
          <w:tcPr>
            <w:tcW w:w="4815" w:type="dxa"/>
            <w:tcBorders>
              <w:tl2br w:val="nil"/>
              <w:tr2bl w:val="nil"/>
            </w:tcBorders>
            <w:shd w:val="clear" w:color="auto" w:fill="auto"/>
            <w:tcMar>
              <w:top w:w="15" w:type="dxa"/>
              <w:left w:w="15" w:type="dxa"/>
              <w:right w:w="15" w:type="dxa"/>
            </w:tcMar>
            <w:vAlign w:val="center"/>
          </w:tcPr>
          <w:p w14:paraId="0A2CA6F8">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机房内各安防和消防设备外观是否存破损。</w:t>
            </w:r>
          </w:p>
        </w:tc>
      </w:tr>
      <w:tr w14:paraId="7F8DF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45D06A38">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197F0C2D">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7964177A">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消防设备</w:t>
            </w:r>
          </w:p>
        </w:tc>
        <w:tc>
          <w:tcPr>
            <w:tcW w:w="4815" w:type="dxa"/>
            <w:tcBorders>
              <w:tl2br w:val="nil"/>
              <w:tr2bl w:val="nil"/>
            </w:tcBorders>
            <w:shd w:val="clear" w:color="auto" w:fill="auto"/>
            <w:tcMar>
              <w:top w:w="15" w:type="dxa"/>
              <w:left w:w="15" w:type="dxa"/>
              <w:right w:w="15" w:type="dxa"/>
            </w:tcMar>
            <w:vAlign w:val="center"/>
          </w:tcPr>
          <w:p w14:paraId="3598618C">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各消防设备是否正确摆放，设备周围是否有异物阻挡。</w:t>
            </w:r>
          </w:p>
        </w:tc>
      </w:tr>
      <w:tr w14:paraId="13610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21E8F33B">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29A1F00A">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2B641BA9">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感应探头</w:t>
            </w:r>
          </w:p>
        </w:tc>
        <w:tc>
          <w:tcPr>
            <w:tcW w:w="4815" w:type="dxa"/>
            <w:tcBorders>
              <w:tl2br w:val="nil"/>
              <w:tr2bl w:val="nil"/>
            </w:tcBorders>
            <w:shd w:val="clear" w:color="auto" w:fill="auto"/>
            <w:tcMar>
              <w:top w:w="15" w:type="dxa"/>
              <w:left w:w="15" w:type="dxa"/>
              <w:right w:w="15" w:type="dxa"/>
            </w:tcMar>
            <w:vAlign w:val="center"/>
          </w:tcPr>
          <w:p w14:paraId="6CE5F1A0">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通过监控系统查看各类感应探头是否都在线且取值正常。</w:t>
            </w:r>
          </w:p>
        </w:tc>
      </w:tr>
      <w:tr w14:paraId="6AE72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4AC26D9F">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56628506">
            <w:pPr>
              <w:jc w:val="both"/>
              <w:rPr>
                <w:rFonts w:hint="eastAsia" w:ascii="宋体" w:hAnsi="宋体" w:eastAsia="宋体" w:cs="宋体"/>
                <w:i w:val="0"/>
                <w:color w:val="000000"/>
                <w:sz w:val="24"/>
                <w:szCs w:val="24"/>
                <w:u w:val="none"/>
              </w:rPr>
            </w:pPr>
          </w:p>
        </w:tc>
        <w:tc>
          <w:tcPr>
            <w:tcW w:w="2115" w:type="dxa"/>
            <w:vMerge w:val="restart"/>
            <w:tcBorders>
              <w:tl2br w:val="nil"/>
              <w:tr2bl w:val="nil"/>
            </w:tcBorders>
            <w:shd w:val="clear" w:color="auto" w:fill="auto"/>
            <w:tcMar>
              <w:top w:w="15" w:type="dxa"/>
              <w:left w:w="15" w:type="dxa"/>
              <w:right w:w="15" w:type="dxa"/>
            </w:tcMar>
            <w:vAlign w:val="center"/>
          </w:tcPr>
          <w:p w14:paraId="29D7C587">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视频监控</w:t>
            </w:r>
          </w:p>
        </w:tc>
        <w:tc>
          <w:tcPr>
            <w:tcW w:w="4815" w:type="dxa"/>
            <w:tcBorders>
              <w:tl2br w:val="nil"/>
              <w:tr2bl w:val="nil"/>
            </w:tcBorders>
            <w:shd w:val="clear" w:color="auto" w:fill="auto"/>
            <w:tcMar>
              <w:top w:w="15" w:type="dxa"/>
              <w:left w:w="15" w:type="dxa"/>
              <w:right w:w="15" w:type="dxa"/>
            </w:tcMar>
            <w:vAlign w:val="center"/>
          </w:tcPr>
          <w:p w14:paraId="1DAAB5F8">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查看监控摄像头是否均正常运作，监控图像清晰正常。</w:t>
            </w:r>
          </w:p>
        </w:tc>
      </w:tr>
      <w:tr w14:paraId="3B72D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5DA375F9">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4061DF58">
            <w:pPr>
              <w:jc w:val="both"/>
              <w:rPr>
                <w:rFonts w:hint="eastAsia" w:ascii="宋体" w:hAnsi="宋体" w:eastAsia="宋体" w:cs="宋体"/>
                <w:i w:val="0"/>
                <w:color w:val="000000"/>
                <w:sz w:val="24"/>
                <w:szCs w:val="24"/>
                <w:u w:val="none"/>
              </w:rPr>
            </w:pPr>
          </w:p>
        </w:tc>
        <w:tc>
          <w:tcPr>
            <w:tcW w:w="2115" w:type="dxa"/>
            <w:vMerge w:val="continue"/>
            <w:tcBorders>
              <w:tl2br w:val="nil"/>
              <w:tr2bl w:val="nil"/>
            </w:tcBorders>
            <w:shd w:val="clear" w:color="auto" w:fill="auto"/>
            <w:tcMar>
              <w:top w:w="15" w:type="dxa"/>
              <w:left w:w="15" w:type="dxa"/>
              <w:right w:w="15" w:type="dxa"/>
            </w:tcMar>
            <w:vAlign w:val="center"/>
          </w:tcPr>
          <w:p w14:paraId="483D71C6">
            <w:pPr>
              <w:jc w:val="both"/>
              <w:rPr>
                <w:rFonts w:hint="eastAsia" w:ascii="宋体" w:hAnsi="宋体" w:eastAsia="宋体" w:cs="宋体"/>
                <w:i w:val="0"/>
                <w:color w:val="000000"/>
                <w:sz w:val="24"/>
                <w:szCs w:val="24"/>
                <w:u w:val="none"/>
              </w:rPr>
            </w:pPr>
          </w:p>
        </w:tc>
        <w:tc>
          <w:tcPr>
            <w:tcW w:w="4815" w:type="dxa"/>
            <w:tcBorders>
              <w:tl2br w:val="nil"/>
              <w:tr2bl w:val="nil"/>
            </w:tcBorders>
            <w:shd w:val="clear" w:color="auto" w:fill="auto"/>
            <w:tcMar>
              <w:top w:w="15" w:type="dxa"/>
              <w:left w:w="15" w:type="dxa"/>
              <w:right w:w="15" w:type="dxa"/>
            </w:tcMar>
            <w:vAlign w:val="center"/>
          </w:tcPr>
          <w:p w14:paraId="52A6F7EB">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查看硬盘录像机是否存在告警，是否正常保存历史视频。</w:t>
            </w:r>
          </w:p>
        </w:tc>
      </w:tr>
      <w:tr w14:paraId="751C9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5" w:hRule="atLeast"/>
        </w:trPr>
        <w:tc>
          <w:tcPr>
            <w:tcW w:w="630" w:type="dxa"/>
            <w:vMerge w:val="restart"/>
            <w:tcBorders>
              <w:tl2br w:val="nil"/>
              <w:tr2bl w:val="nil"/>
            </w:tcBorders>
            <w:shd w:val="clear" w:color="auto" w:fill="auto"/>
            <w:tcMar>
              <w:top w:w="15" w:type="dxa"/>
              <w:left w:w="15" w:type="dxa"/>
              <w:right w:w="15" w:type="dxa"/>
            </w:tcMar>
            <w:vAlign w:val="center"/>
          </w:tcPr>
          <w:p w14:paraId="2F5B3A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90" w:type="dxa"/>
            <w:vMerge w:val="restart"/>
            <w:tcBorders>
              <w:tl2br w:val="nil"/>
              <w:tr2bl w:val="nil"/>
            </w:tcBorders>
            <w:shd w:val="clear" w:color="auto" w:fill="auto"/>
            <w:tcMar>
              <w:top w:w="15" w:type="dxa"/>
              <w:left w:w="15" w:type="dxa"/>
              <w:right w:w="15" w:type="dxa"/>
            </w:tcMar>
            <w:vAlign w:val="center"/>
          </w:tcPr>
          <w:p w14:paraId="26131AC5">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环境监控</w:t>
            </w:r>
          </w:p>
        </w:tc>
        <w:tc>
          <w:tcPr>
            <w:tcW w:w="2115" w:type="dxa"/>
            <w:tcBorders>
              <w:tl2br w:val="nil"/>
              <w:tr2bl w:val="nil"/>
            </w:tcBorders>
            <w:shd w:val="clear" w:color="auto" w:fill="auto"/>
            <w:tcMar>
              <w:top w:w="15" w:type="dxa"/>
              <w:left w:w="15" w:type="dxa"/>
              <w:right w:w="15" w:type="dxa"/>
            </w:tcMar>
            <w:vAlign w:val="center"/>
          </w:tcPr>
          <w:p w14:paraId="02F5F1B2">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空调状态</w:t>
            </w:r>
          </w:p>
        </w:tc>
        <w:tc>
          <w:tcPr>
            <w:tcW w:w="4815" w:type="dxa"/>
            <w:tcBorders>
              <w:tl2br w:val="nil"/>
              <w:tr2bl w:val="nil"/>
            </w:tcBorders>
            <w:shd w:val="clear" w:color="auto" w:fill="auto"/>
            <w:tcMar>
              <w:top w:w="15" w:type="dxa"/>
              <w:left w:w="15" w:type="dxa"/>
              <w:right w:w="15" w:type="dxa"/>
            </w:tcMar>
            <w:vAlign w:val="center"/>
          </w:tcPr>
          <w:p w14:paraId="2963D0B6">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查看机房空调工作状态、查看系统是否存在告警。</w:t>
            </w:r>
          </w:p>
        </w:tc>
      </w:tr>
      <w:tr w14:paraId="1922E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trPr>
        <w:tc>
          <w:tcPr>
            <w:tcW w:w="630" w:type="dxa"/>
            <w:vMerge w:val="continue"/>
            <w:tcBorders>
              <w:tl2br w:val="nil"/>
              <w:tr2bl w:val="nil"/>
            </w:tcBorders>
            <w:shd w:val="clear" w:color="auto" w:fill="auto"/>
            <w:tcMar>
              <w:top w:w="15" w:type="dxa"/>
              <w:left w:w="15" w:type="dxa"/>
              <w:right w:w="15" w:type="dxa"/>
            </w:tcMar>
            <w:vAlign w:val="center"/>
          </w:tcPr>
          <w:p w14:paraId="417F9849">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10801D91">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0DBE793A">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温湿度</w:t>
            </w:r>
          </w:p>
        </w:tc>
        <w:tc>
          <w:tcPr>
            <w:tcW w:w="4815" w:type="dxa"/>
            <w:tcBorders>
              <w:tl2br w:val="nil"/>
              <w:tr2bl w:val="nil"/>
            </w:tcBorders>
            <w:shd w:val="clear" w:color="auto" w:fill="auto"/>
            <w:tcMar>
              <w:top w:w="15" w:type="dxa"/>
              <w:left w:w="15" w:type="dxa"/>
              <w:right w:w="15" w:type="dxa"/>
            </w:tcMar>
            <w:vAlign w:val="center"/>
          </w:tcPr>
          <w:p w14:paraId="4C20B80E">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检查机房内温度和湿度数据是否正常。</w:t>
            </w:r>
          </w:p>
        </w:tc>
      </w:tr>
      <w:tr w14:paraId="5A1270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55BF1989">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1270EB10">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072AB299">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机房照明</w:t>
            </w:r>
          </w:p>
        </w:tc>
        <w:tc>
          <w:tcPr>
            <w:tcW w:w="4815" w:type="dxa"/>
            <w:tcBorders>
              <w:tl2br w:val="nil"/>
              <w:tr2bl w:val="nil"/>
            </w:tcBorders>
            <w:shd w:val="clear" w:color="auto" w:fill="auto"/>
            <w:tcMar>
              <w:top w:w="15" w:type="dxa"/>
              <w:left w:w="15" w:type="dxa"/>
              <w:right w:w="15" w:type="dxa"/>
            </w:tcMar>
            <w:vAlign w:val="center"/>
          </w:tcPr>
          <w:p w14:paraId="482912C3">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查看机房普通照明设备是否正常，应急照明设备是否正常。</w:t>
            </w:r>
          </w:p>
        </w:tc>
      </w:tr>
      <w:tr w14:paraId="69644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630" w:type="dxa"/>
            <w:vMerge w:val="continue"/>
            <w:tcBorders>
              <w:tl2br w:val="nil"/>
              <w:tr2bl w:val="nil"/>
            </w:tcBorders>
            <w:shd w:val="clear" w:color="auto" w:fill="auto"/>
            <w:tcMar>
              <w:top w:w="15" w:type="dxa"/>
              <w:left w:w="15" w:type="dxa"/>
              <w:right w:w="15" w:type="dxa"/>
            </w:tcMar>
            <w:vAlign w:val="center"/>
          </w:tcPr>
          <w:p w14:paraId="71A35A4E">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6C377976">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6644C166">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机房门窗</w:t>
            </w:r>
          </w:p>
        </w:tc>
        <w:tc>
          <w:tcPr>
            <w:tcW w:w="4815" w:type="dxa"/>
            <w:tcBorders>
              <w:tl2br w:val="nil"/>
              <w:tr2bl w:val="nil"/>
            </w:tcBorders>
            <w:shd w:val="clear" w:color="auto" w:fill="auto"/>
            <w:tcMar>
              <w:top w:w="15" w:type="dxa"/>
              <w:left w:w="15" w:type="dxa"/>
              <w:right w:w="15" w:type="dxa"/>
            </w:tcMar>
            <w:vAlign w:val="center"/>
          </w:tcPr>
          <w:p w14:paraId="5C861CF9">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查看机房门窗是否均已正常关闭。</w:t>
            </w:r>
          </w:p>
        </w:tc>
      </w:tr>
      <w:tr w14:paraId="0700C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630" w:type="dxa"/>
            <w:vMerge w:val="continue"/>
            <w:tcBorders>
              <w:tl2br w:val="nil"/>
              <w:tr2bl w:val="nil"/>
            </w:tcBorders>
            <w:shd w:val="clear" w:color="auto" w:fill="auto"/>
            <w:tcMar>
              <w:top w:w="15" w:type="dxa"/>
              <w:left w:w="15" w:type="dxa"/>
              <w:right w:w="15" w:type="dxa"/>
            </w:tcMar>
            <w:vAlign w:val="center"/>
          </w:tcPr>
          <w:p w14:paraId="089270C0">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59F50742">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6F7F474B">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机房地板</w:t>
            </w:r>
          </w:p>
        </w:tc>
        <w:tc>
          <w:tcPr>
            <w:tcW w:w="4815" w:type="dxa"/>
            <w:tcBorders>
              <w:tl2br w:val="nil"/>
              <w:tr2bl w:val="nil"/>
            </w:tcBorders>
            <w:shd w:val="clear" w:color="auto" w:fill="auto"/>
            <w:tcMar>
              <w:top w:w="15" w:type="dxa"/>
              <w:left w:w="15" w:type="dxa"/>
              <w:right w:w="15" w:type="dxa"/>
            </w:tcMar>
            <w:vAlign w:val="center"/>
          </w:tcPr>
          <w:p w14:paraId="40F36A33">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查看机房地板是否整洁，无尘土或琐屑。</w:t>
            </w:r>
          </w:p>
        </w:tc>
      </w:tr>
      <w:tr w14:paraId="4B03C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5" w:hRule="atLeast"/>
        </w:trPr>
        <w:tc>
          <w:tcPr>
            <w:tcW w:w="630" w:type="dxa"/>
            <w:vMerge w:val="continue"/>
            <w:tcBorders>
              <w:tl2br w:val="nil"/>
              <w:tr2bl w:val="nil"/>
            </w:tcBorders>
            <w:shd w:val="clear" w:color="auto" w:fill="auto"/>
            <w:tcMar>
              <w:top w:w="15" w:type="dxa"/>
              <w:left w:w="15" w:type="dxa"/>
              <w:right w:w="15" w:type="dxa"/>
            </w:tcMar>
            <w:vAlign w:val="center"/>
          </w:tcPr>
          <w:p w14:paraId="6B9FE2E8">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378B5CC7">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60F3DCE7">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监控主机</w:t>
            </w:r>
          </w:p>
        </w:tc>
        <w:tc>
          <w:tcPr>
            <w:tcW w:w="4815" w:type="dxa"/>
            <w:tcBorders>
              <w:tl2br w:val="nil"/>
              <w:tr2bl w:val="nil"/>
            </w:tcBorders>
            <w:shd w:val="clear" w:color="auto" w:fill="auto"/>
            <w:tcMar>
              <w:top w:w="15" w:type="dxa"/>
              <w:left w:w="15" w:type="dxa"/>
              <w:right w:w="15" w:type="dxa"/>
            </w:tcMar>
            <w:vAlign w:val="center"/>
          </w:tcPr>
          <w:p w14:paraId="3474E7A0">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查看环境监控主机采集数据是否正常，是否存在告警，告警通知功能是否正常（例如告警邮件、告警短信）。</w:t>
            </w:r>
          </w:p>
        </w:tc>
      </w:tr>
      <w:tr w14:paraId="410E37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restart"/>
            <w:tcBorders>
              <w:tl2br w:val="nil"/>
              <w:tr2bl w:val="nil"/>
            </w:tcBorders>
            <w:shd w:val="clear" w:color="auto" w:fill="auto"/>
            <w:tcMar>
              <w:top w:w="15" w:type="dxa"/>
              <w:left w:w="15" w:type="dxa"/>
              <w:right w:w="15" w:type="dxa"/>
            </w:tcMar>
            <w:vAlign w:val="center"/>
          </w:tcPr>
          <w:p w14:paraId="45F501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90" w:type="dxa"/>
            <w:vMerge w:val="restart"/>
            <w:tcBorders>
              <w:tl2br w:val="nil"/>
              <w:tr2bl w:val="nil"/>
            </w:tcBorders>
            <w:shd w:val="clear" w:color="auto" w:fill="auto"/>
            <w:tcMar>
              <w:top w:w="15" w:type="dxa"/>
              <w:left w:w="15" w:type="dxa"/>
              <w:right w:w="15" w:type="dxa"/>
            </w:tcMar>
            <w:vAlign w:val="center"/>
          </w:tcPr>
          <w:p w14:paraId="74C1C6BE">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电源系统</w:t>
            </w:r>
          </w:p>
        </w:tc>
        <w:tc>
          <w:tcPr>
            <w:tcW w:w="2115" w:type="dxa"/>
            <w:tcBorders>
              <w:tl2br w:val="nil"/>
              <w:tr2bl w:val="nil"/>
            </w:tcBorders>
            <w:shd w:val="clear" w:color="auto" w:fill="auto"/>
            <w:tcMar>
              <w:top w:w="15" w:type="dxa"/>
              <w:left w:w="15" w:type="dxa"/>
              <w:right w:w="15" w:type="dxa"/>
            </w:tcMar>
            <w:vAlign w:val="center"/>
          </w:tcPr>
          <w:p w14:paraId="36C95334">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供电情况</w:t>
            </w:r>
          </w:p>
        </w:tc>
        <w:tc>
          <w:tcPr>
            <w:tcW w:w="4815" w:type="dxa"/>
            <w:tcBorders>
              <w:tl2br w:val="nil"/>
              <w:tr2bl w:val="nil"/>
            </w:tcBorders>
            <w:shd w:val="clear" w:color="auto" w:fill="auto"/>
            <w:tcMar>
              <w:top w:w="15" w:type="dxa"/>
              <w:left w:w="15" w:type="dxa"/>
              <w:right w:w="15" w:type="dxa"/>
            </w:tcMar>
            <w:vAlign w:val="center"/>
          </w:tcPr>
          <w:p w14:paraId="32552A1D">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检查市电和UPS接入机房是否正常，各相数值是否正常</w:t>
            </w:r>
          </w:p>
        </w:tc>
      </w:tr>
      <w:tr w14:paraId="23D91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 w:hRule="atLeast"/>
        </w:trPr>
        <w:tc>
          <w:tcPr>
            <w:tcW w:w="630" w:type="dxa"/>
            <w:vMerge w:val="continue"/>
            <w:tcBorders>
              <w:tl2br w:val="nil"/>
              <w:tr2bl w:val="nil"/>
            </w:tcBorders>
            <w:shd w:val="clear" w:color="auto" w:fill="auto"/>
            <w:tcMar>
              <w:top w:w="15" w:type="dxa"/>
              <w:left w:w="15" w:type="dxa"/>
              <w:right w:w="15" w:type="dxa"/>
            </w:tcMar>
            <w:vAlign w:val="center"/>
          </w:tcPr>
          <w:p w14:paraId="51C3ACB1">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4E261576">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7221C454">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稳压电源检查</w:t>
            </w:r>
          </w:p>
        </w:tc>
        <w:tc>
          <w:tcPr>
            <w:tcW w:w="4815" w:type="dxa"/>
            <w:tcBorders>
              <w:tl2br w:val="nil"/>
              <w:tr2bl w:val="nil"/>
            </w:tcBorders>
            <w:shd w:val="clear" w:color="auto" w:fill="auto"/>
            <w:tcMar>
              <w:top w:w="15" w:type="dxa"/>
              <w:left w:w="15" w:type="dxa"/>
              <w:right w:w="15" w:type="dxa"/>
            </w:tcMar>
            <w:vAlign w:val="center"/>
          </w:tcPr>
          <w:p w14:paraId="61E057B3">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稳压电源状态指示灯显示是否正确，输出电压是否稳定。</w:t>
            </w:r>
          </w:p>
        </w:tc>
      </w:tr>
      <w:tr w14:paraId="35D7C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630" w:type="dxa"/>
            <w:vMerge w:val="continue"/>
            <w:tcBorders>
              <w:tl2br w:val="nil"/>
              <w:tr2bl w:val="nil"/>
            </w:tcBorders>
            <w:shd w:val="clear" w:color="auto" w:fill="auto"/>
            <w:tcMar>
              <w:top w:w="15" w:type="dxa"/>
              <w:left w:w="15" w:type="dxa"/>
              <w:right w:w="15" w:type="dxa"/>
            </w:tcMar>
            <w:vAlign w:val="center"/>
          </w:tcPr>
          <w:p w14:paraId="4E88A969">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3256EBA9">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3E35140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电池状态检查</w:t>
            </w:r>
          </w:p>
        </w:tc>
        <w:tc>
          <w:tcPr>
            <w:tcW w:w="4815" w:type="dxa"/>
            <w:tcBorders>
              <w:tl2br w:val="nil"/>
              <w:tr2bl w:val="nil"/>
            </w:tcBorders>
            <w:shd w:val="clear" w:color="auto" w:fill="auto"/>
            <w:tcMar>
              <w:top w:w="15" w:type="dxa"/>
              <w:left w:w="15" w:type="dxa"/>
              <w:right w:w="15" w:type="dxa"/>
            </w:tcMar>
            <w:vAlign w:val="center"/>
          </w:tcPr>
          <w:p w14:paraId="5B8E992B">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电池外观检查，检查是否能正常进行充、放电。</w:t>
            </w:r>
          </w:p>
        </w:tc>
      </w:tr>
      <w:tr w14:paraId="72B9D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0" w:hRule="atLeast"/>
        </w:trPr>
        <w:tc>
          <w:tcPr>
            <w:tcW w:w="630" w:type="dxa"/>
            <w:vMerge w:val="continue"/>
            <w:tcBorders>
              <w:tl2br w:val="nil"/>
              <w:tr2bl w:val="nil"/>
            </w:tcBorders>
            <w:shd w:val="clear" w:color="auto" w:fill="auto"/>
            <w:tcMar>
              <w:top w:w="15" w:type="dxa"/>
              <w:left w:w="15" w:type="dxa"/>
              <w:right w:w="15" w:type="dxa"/>
            </w:tcMar>
            <w:vAlign w:val="center"/>
          </w:tcPr>
          <w:p w14:paraId="52644BF9">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28A930AD">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3861249F">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UPS 状态检查</w:t>
            </w:r>
          </w:p>
        </w:tc>
        <w:tc>
          <w:tcPr>
            <w:tcW w:w="4815" w:type="dxa"/>
            <w:tcBorders>
              <w:tl2br w:val="nil"/>
              <w:tr2bl w:val="nil"/>
            </w:tcBorders>
            <w:shd w:val="clear" w:color="auto" w:fill="auto"/>
            <w:tcMar>
              <w:top w:w="15" w:type="dxa"/>
              <w:left w:w="15" w:type="dxa"/>
              <w:right w:w="15" w:type="dxa"/>
            </w:tcMar>
            <w:vAlign w:val="center"/>
          </w:tcPr>
          <w:p w14:paraId="6674A44D">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UPS 状态信息是否显示正常，状态指示灯是否显示正确，告警信息检查</w:t>
            </w:r>
          </w:p>
        </w:tc>
      </w:tr>
      <w:tr w14:paraId="32305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4F3A8EC4">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4499EF24">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09BB6DF0">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UPS 功能检查（可选）</w:t>
            </w:r>
          </w:p>
        </w:tc>
        <w:tc>
          <w:tcPr>
            <w:tcW w:w="4815" w:type="dxa"/>
            <w:tcBorders>
              <w:tl2br w:val="nil"/>
              <w:tr2bl w:val="nil"/>
            </w:tcBorders>
            <w:shd w:val="clear" w:color="auto" w:fill="auto"/>
            <w:tcMar>
              <w:top w:w="15" w:type="dxa"/>
              <w:left w:w="15" w:type="dxa"/>
              <w:right w:w="15" w:type="dxa"/>
            </w:tcMar>
            <w:vAlign w:val="center"/>
          </w:tcPr>
          <w:p w14:paraId="34FB0128">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用电源管理和诊断软件检测 UPS 运行正常、参数设置正确。</w:t>
            </w:r>
          </w:p>
        </w:tc>
      </w:tr>
      <w:tr w14:paraId="13DFF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restart"/>
            <w:tcBorders>
              <w:tl2br w:val="nil"/>
              <w:tr2bl w:val="nil"/>
            </w:tcBorders>
            <w:shd w:val="clear" w:color="auto" w:fill="auto"/>
            <w:tcMar>
              <w:top w:w="15" w:type="dxa"/>
              <w:left w:w="15" w:type="dxa"/>
              <w:right w:w="15" w:type="dxa"/>
            </w:tcMar>
            <w:vAlign w:val="center"/>
          </w:tcPr>
          <w:p w14:paraId="1E9FC7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90" w:type="dxa"/>
            <w:vMerge w:val="restart"/>
            <w:tcBorders>
              <w:tl2br w:val="nil"/>
              <w:tr2bl w:val="nil"/>
            </w:tcBorders>
            <w:shd w:val="clear" w:color="auto" w:fill="auto"/>
            <w:tcMar>
              <w:top w:w="15" w:type="dxa"/>
              <w:left w:w="15" w:type="dxa"/>
              <w:right w:w="15" w:type="dxa"/>
            </w:tcMar>
            <w:vAlign w:val="center"/>
          </w:tcPr>
          <w:p w14:paraId="2720FE2C">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其它IT机房设备</w:t>
            </w:r>
          </w:p>
        </w:tc>
        <w:tc>
          <w:tcPr>
            <w:tcW w:w="2115" w:type="dxa"/>
            <w:tcBorders>
              <w:tl2br w:val="nil"/>
              <w:tr2bl w:val="nil"/>
            </w:tcBorders>
            <w:shd w:val="clear" w:color="auto" w:fill="auto"/>
            <w:tcMar>
              <w:top w:w="15" w:type="dxa"/>
              <w:left w:w="15" w:type="dxa"/>
              <w:right w:w="15" w:type="dxa"/>
            </w:tcMar>
            <w:vAlign w:val="center"/>
          </w:tcPr>
          <w:p w14:paraId="59A41A39">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设备外观</w:t>
            </w:r>
          </w:p>
        </w:tc>
        <w:tc>
          <w:tcPr>
            <w:tcW w:w="4815" w:type="dxa"/>
            <w:tcBorders>
              <w:tl2br w:val="nil"/>
              <w:tr2bl w:val="nil"/>
            </w:tcBorders>
            <w:shd w:val="clear" w:color="auto" w:fill="auto"/>
            <w:tcMar>
              <w:top w:w="15" w:type="dxa"/>
              <w:left w:w="15" w:type="dxa"/>
              <w:right w:w="15" w:type="dxa"/>
            </w:tcMar>
            <w:vAlign w:val="center"/>
          </w:tcPr>
          <w:p w14:paraId="60775FA0">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检查设备电源、温度、风扇状态、指示灯等硬件运行情况是否正常。</w:t>
            </w:r>
          </w:p>
        </w:tc>
      </w:tr>
      <w:tr w14:paraId="3B4123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trPr>
        <w:tc>
          <w:tcPr>
            <w:tcW w:w="630" w:type="dxa"/>
            <w:vMerge w:val="continue"/>
            <w:tcBorders>
              <w:tl2br w:val="nil"/>
              <w:tr2bl w:val="nil"/>
            </w:tcBorders>
            <w:shd w:val="clear" w:color="auto" w:fill="auto"/>
            <w:tcMar>
              <w:top w:w="15" w:type="dxa"/>
              <w:left w:w="15" w:type="dxa"/>
              <w:right w:w="15" w:type="dxa"/>
            </w:tcMar>
            <w:vAlign w:val="center"/>
          </w:tcPr>
          <w:p w14:paraId="29C6891B">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4F9A7E32">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35CEE89A">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设备管理</w:t>
            </w:r>
          </w:p>
        </w:tc>
        <w:tc>
          <w:tcPr>
            <w:tcW w:w="4815" w:type="dxa"/>
            <w:tcBorders>
              <w:tl2br w:val="nil"/>
              <w:tr2bl w:val="nil"/>
            </w:tcBorders>
            <w:shd w:val="clear" w:color="auto" w:fill="auto"/>
            <w:tcMar>
              <w:top w:w="15" w:type="dxa"/>
              <w:left w:w="15" w:type="dxa"/>
              <w:right w:w="15" w:type="dxa"/>
            </w:tcMar>
            <w:vAlign w:val="center"/>
          </w:tcPr>
          <w:p w14:paraId="22B9D8DA">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登录设备的管理界面（页面或命令行），显示是否正常，是否可以正常管理设备。</w:t>
            </w:r>
          </w:p>
        </w:tc>
      </w:tr>
      <w:tr w14:paraId="50FEB7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43FA6A7F">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0E6436FF">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4E2F87D8">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系统信息</w:t>
            </w:r>
          </w:p>
        </w:tc>
        <w:tc>
          <w:tcPr>
            <w:tcW w:w="4815" w:type="dxa"/>
            <w:tcBorders>
              <w:tl2br w:val="nil"/>
              <w:tr2bl w:val="nil"/>
            </w:tcBorders>
            <w:shd w:val="clear" w:color="auto" w:fill="auto"/>
            <w:tcMar>
              <w:top w:w="15" w:type="dxa"/>
              <w:left w:w="15" w:type="dxa"/>
              <w:right w:w="15" w:type="dxa"/>
            </w:tcMar>
            <w:vAlign w:val="center"/>
          </w:tcPr>
          <w:p w14:paraId="107B11DE">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查看CPU、内存、存储介质空间等设备资源使用情况。</w:t>
            </w:r>
          </w:p>
        </w:tc>
      </w:tr>
      <w:tr w14:paraId="6373E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630" w:type="dxa"/>
            <w:vMerge w:val="continue"/>
            <w:tcBorders>
              <w:tl2br w:val="nil"/>
              <w:tr2bl w:val="nil"/>
            </w:tcBorders>
            <w:shd w:val="clear" w:color="auto" w:fill="auto"/>
            <w:tcMar>
              <w:top w:w="15" w:type="dxa"/>
              <w:left w:w="15" w:type="dxa"/>
              <w:right w:w="15" w:type="dxa"/>
            </w:tcMar>
            <w:vAlign w:val="center"/>
          </w:tcPr>
          <w:p w14:paraId="57F21C09">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43F5279D">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2BBE341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设备版本</w:t>
            </w:r>
          </w:p>
        </w:tc>
        <w:tc>
          <w:tcPr>
            <w:tcW w:w="4815" w:type="dxa"/>
            <w:tcBorders>
              <w:tl2br w:val="nil"/>
              <w:tr2bl w:val="nil"/>
            </w:tcBorders>
            <w:shd w:val="clear" w:color="auto" w:fill="auto"/>
            <w:tcMar>
              <w:top w:w="15" w:type="dxa"/>
              <w:left w:w="15" w:type="dxa"/>
              <w:right w:w="15" w:type="dxa"/>
            </w:tcMar>
            <w:vAlign w:val="center"/>
          </w:tcPr>
          <w:p w14:paraId="634BDF5E">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查看软件版本、特征库版本是否最新</w:t>
            </w:r>
          </w:p>
        </w:tc>
      </w:tr>
      <w:tr w14:paraId="11A6E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trPr>
        <w:tc>
          <w:tcPr>
            <w:tcW w:w="630" w:type="dxa"/>
            <w:vMerge w:val="continue"/>
            <w:tcBorders>
              <w:tl2br w:val="nil"/>
              <w:tr2bl w:val="nil"/>
            </w:tcBorders>
            <w:shd w:val="clear" w:color="auto" w:fill="auto"/>
            <w:tcMar>
              <w:top w:w="15" w:type="dxa"/>
              <w:left w:w="15" w:type="dxa"/>
              <w:right w:w="15" w:type="dxa"/>
            </w:tcMar>
            <w:vAlign w:val="center"/>
          </w:tcPr>
          <w:p w14:paraId="1F944B11">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0D92964E">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04DF8EBE">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重要端口检查</w:t>
            </w:r>
          </w:p>
        </w:tc>
        <w:tc>
          <w:tcPr>
            <w:tcW w:w="4815" w:type="dxa"/>
            <w:tcBorders>
              <w:tl2br w:val="nil"/>
              <w:tr2bl w:val="nil"/>
            </w:tcBorders>
            <w:shd w:val="clear" w:color="auto" w:fill="auto"/>
            <w:tcMar>
              <w:top w:w="15" w:type="dxa"/>
              <w:left w:w="15" w:type="dxa"/>
              <w:right w:w="15" w:type="dxa"/>
            </w:tcMar>
            <w:vAlign w:val="center"/>
          </w:tcPr>
          <w:p w14:paraId="276B0578">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检查设备重要端口当前状态是否正常，进出流量是否正常。</w:t>
            </w:r>
          </w:p>
        </w:tc>
      </w:tr>
      <w:tr w14:paraId="2129A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630" w:type="dxa"/>
            <w:vMerge w:val="continue"/>
            <w:tcBorders>
              <w:tl2br w:val="nil"/>
              <w:tr2bl w:val="nil"/>
            </w:tcBorders>
            <w:shd w:val="clear" w:color="auto" w:fill="auto"/>
            <w:tcMar>
              <w:top w:w="15" w:type="dxa"/>
              <w:left w:w="15" w:type="dxa"/>
              <w:right w:w="15" w:type="dxa"/>
            </w:tcMar>
            <w:vAlign w:val="center"/>
          </w:tcPr>
          <w:p w14:paraId="5B9D4394">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2B63E462">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69F2E2D2">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核心功能使用</w:t>
            </w:r>
          </w:p>
        </w:tc>
        <w:tc>
          <w:tcPr>
            <w:tcW w:w="4815" w:type="dxa"/>
            <w:tcBorders>
              <w:tl2br w:val="nil"/>
              <w:tr2bl w:val="nil"/>
            </w:tcBorders>
            <w:shd w:val="clear" w:color="auto" w:fill="auto"/>
            <w:tcMar>
              <w:top w:w="15" w:type="dxa"/>
              <w:left w:w="15" w:type="dxa"/>
              <w:right w:w="15" w:type="dxa"/>
            </w:tcMar>
            <w:vAlign w:val="top"/>
          </w:tcPr>
          <w:p w14:paraId="1A6FF5BA">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服务的核心功能是否使用正常</w:t>
            </w:r>
          </w:p>
        </w:tc>
      </w:tr>
      <w:tr w14:paraId="056F4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630" w:type="dxa"/>
            <w:vMerge w:val="continue"/>
            <w:tcBorders>
              <w:tl2br w:val="nil"/>
              <w:tr2bl w:val="nil"/>
            </w:tcBorders>
            <w:shd w:val="clear" w:color="auto" w:fill="auto"/>
            <w:tcMar>
              <w:top w:w="15" w:type="dxa"/>
              <w:left w:w="15" w:type="dxa"/>
              <w:right w:w="15" w:type="dxa"/>
            </w:tcMar>
            <w:vAlign w:val="center"/>
          </w:tcPr>
          <w:p w14:paraId="75ED592F">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1BAA271D">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7368F5B9">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数据备份）</w:t>
            </w:r>
          </w:p>
        </w:tc>
        <w:tc>
          <w:tcPr>
            <w:tcW w:w="4815" w:type="dxa"/>
            <w:tcBorders>
              <w:tl2br w:val="nil"/>
              <w:tr2bl w:val="nil"/>
            </w:tcBorders>
            <w:shd w:val="clear" w:color="auto" w:fill="auto"/>
            <w:tcMar>
              <w:top w:w="15" w:type="dxa"/>
              <w:left w:w="15" w:type="dxa"/>
              <w:right w:w="15" w:type="dxa"/>
            </w:tcMar>
            <w:vAlign w:val="center"/>
          </w:tcPr>
          <w:p w14:paraId="5861D006">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备份设备的配置文件并下载本地进行保存</w:t>
            </w:r>
          </w:p>
        </w:tc>
      </w:tr>
      <w:tr w14:paraId="4E399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restart"/>
            <w:tcBorders>
              <w:tl2br w:val="nil"/>
              <w:tr2bl w:val="nil"/>
            </w:tcBorders>
            <w:shd w:val="clear" w:color="auto" w:fill="auto"/>
            <w:tcMar>
              <w:top w:w="15" w:type="dxa"/>
              <w:left w:w="15" w:type="dxa"/>
              <w:right w:w="15" w:type="dxa"/>
            </w:tcMar>
            <w:vAlign w:val="center"/>
          </w:tcPr>
          <w:p w14:paraId="3EDE6F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90" w:type="dxa"/>
            <w:vMerge w:val="restart"/>
            <w:tcBorders>
              <w:tl2br w:val="nil"/>
              <w:tr2bl w:val="nil"/>
            </w:tcBorders>
            <w:shd w:val="clear" w:color="auto" w:fill="auto"/>
            <w:tcMar>
              <w:top w:w="15" w:type="dxa"/>
              <w:left w:w="15" w:type="dxa"/>
              <w:right w:w="15" w:type="dxa"/>
            </w:tcMar>
            <w:vAlign w:val="center"/>
          </w:tcPr>
          <w:p w14:paraId="3A2F4F39">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路由器</w:t>
            </w:r>
          </w:p>
        </w:tc>
        <w:tc>
          <w:tcPr>
            <w:tcW w:w="2115" w:type="dxa"/>
            <w:tcBorders>
              <w:tl2br w:val="nil"/>
              <w:tr2bl w:val="nil"/>
            </w:tcBorders>
            <w:shd w:val="clear" w:color="auto" w:fill="auto"/>
            <w:tcMar>
              <w:top w:w="15" w:type="dxa"/>
              <w:left w:w="15" w:type="dxa"/>
              <w:right w:w="15" w:type="dxa"/>
            </w:tcMar>
            <w:vAlign w:val="center"/>
          </w:tcPr>
          <w:p w14:paraId="151BC062">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外观检查</w:t>
            </w:r>
          </w:p>
        </w:tc>
        <w:tc>
          <w:tcPr>
            <w:tcW w:w="4815" w:type="dxa"/>
            <w:tcBorders>
              <w:tl2br w:val="nil"/>
              <w:tr2bl w:val="nil"/>
            </w:tcBorders>
            <w:shd w:val="clear" w:color="auto" w:fill="auto"/>
            <w:tcMar>
              <w:top w:w="15" w:type="dxa"/>
              <w:left w:w="15" w:type="dxa"/>
              <w:right w:w="15" w:type="dxa"/>
            </w:tcMar>
            <w:vAlign w:val="center"/>
          </w:tcPr>
          <w:p w14:paraId="47B1AAE3">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检查设备的接入线缆是否老化、松动；告警警示灯是否有亮。</w:t>
            </w:r>
          </w:p>
        </w:tc>
      </w:tr>
      <w:tr w14:paraId="6EF0E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4143085B">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58BC70B7">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2F3BE9D4">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通信链路检查</w:t>
            </w:r>
          </w:p>
        </w:tc>
        <w:tc>
          <w:tcPr>
            <w:tcW w:w="4815" w:type="dxa"/>
            <w:tcBorders>
              <w:tl2br w:val="nil"/>
              <w:tr2bl w:val="nil"/>
            </w:tcBorders>
            <w:shd w:val="clear" w:color="auto" w:fill="auto"/>
            <w:tcMar>
              <w:top w:w="15" w:type="dxa"/>
              <w:left w:w="15" w:type="dxa"/>
              <w:right w:w="15" w:type="dxa"/>
            </w:tcMar>
            <w:vAlign w:val="center"/>
          </w:tcPr>
          <w:p w14:paraId="726BB98A">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检查网络的实际带宽，丢包率，时延，抖动等性能指标</w:t>
            </w:r>
          </w:p>
        </w:tc>
      </w:tr>
      <w:tr w14:paraId="00C8C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0B2ABB3F">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7BE37577">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30F8250F">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设备信息检查</w:t>
            </w:r>
          </w:p>
        </w:tc>
        <w:tc>
          <w:tcPr>
            <w:tcW w:w="4815" w:type="dxa"/>
            <w:tcBorders>
              <w:tl2br w:val="nil"/>
              <w:tr2bl w:val="nil"/>
            </w:tcBorders>
            <w:shd w:val="clear" w:color="auto" w:fill="auto"/>
            <w:tcMar>
              <w:top w:w="15" w:type="dxa"/>
              <w:left w:w="15" w:type="dxa"/>
              <w:right w:w="15" w:type="dxa"/>
            </w:tcMar>
            <w:vAlign w:val="center"/>
          </w:tcPr>
          <w:p w14:paraId="5A34F58E">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检查内存大小和CPU使用率</w:t>
            </w:r>
          </w:p>
        </w:tc>
      </w:tr>
      <w:tr w14:paraId="6712E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30" w:type="dxa"/>
            <w:vMerge w:val="continue"/>
            <w:tcBorders>
              <w:tl2br w:val="nil"/>
              <w:tr2bl w:val="nil"/>
            </w:tcBorders>
            <w:shd w:val="clear" w:color="auto" w:fill="auto"/>
            <w:tcMar>
              <w:top w:w="15" w:type="dxa"/>
              <w:left w:w="15" w:type="dxa"/>
              <w:right w:w="15" w:type="dxa"/>
            </w:tcMar>
            <w:vAlign w:val="center"/>
          </w:tcPr>
          <w:p w14:paraId="117B06D5">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3A71B6F9">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739EBAA9">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模块单元检查</w:t>
            </w:r>
          </w:p>
        </w:tc>
        <w:tc>
          <w:tcPr>
            <w:tcW w:w="4815" w:type="dxa"/>
            <w:tcBorders>
              <w:tl2br w:val="nil"/>
              <w:tr2bl w:val="nil"/>
            </w:tcBorders>
            <w:shd w:val="clear" w:color="auto" w:fill="auto"/>
            <w:tcMar>
              <w:top w:w="15" w:type="dxa"/>
              <w:left w:w="15" w:type="dxa"/>
              <w:right w:w="15" w:type="dxa"/>
            </w:tcMar>
            <w:vAlign w:val="center"/>
          </w:tcPr>
          <w:p w14:paraId="52E76672">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检查设备的内部各模块是否完好，工作正常。</w:t>
            </w:r>
          </w:p>
        </w:tc>
      </w:tr>
      <w:tr w14:paraId="19EBA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7E64E4EB">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54CE4DE5">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3AA9CCFE">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路由功能检查</w:t>
            </w:r>
          </w:p>
        </w:tc>
        <w:tc>
          <w:tcPr>
            <w:tcW w:w="4815" w:type="dxa"/>
            <w:tcBorders>
              <w:tl2br w:val="nil"/>
              <w:tr2bl w:val="nil"/>
            </w:tcBorders>
            <w:shd w:val="clear" w:color="auto" w:fill="auto"/>
            <w:tcMar>
              <w:top w:w="15" w:type="dxa"/>
              <w:left w:w="15" w:type="dxa"/>
              <w:right w:w="15" w:type="dxa"/>
            </w:tcMar>
            <w:vAlign w:val="center"/>
          </w:tcPr>
          <w:p w14:paraId="50BBA9E4">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查看路由来确认对应的网络状态是否正常;</w:t>
            </w:r>
          </w:p>
        </w:tc>
      </w:tr>
      <w:tr w14:paraId="3156E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trPr>
        <w:tc>
          <w:tcPr>
            <w:tcW w:w="630" w:type="dxa"/>
            <w:vMerge w:val="continue"/>
            <w:tcBorders>
              <w:tl2br w:val="nil"/>
              <w:tr2bl w:val="nil"/>
            </w:tcBorders>
            <w:shd w:val="clear" w:color="auto" w:fill="auto"/>
            <w:tcMar>
              <w:top w:w="15" w:type="dxa"/>
              <w:left w:w="15" w:type="dxa"/>
              <w:right w:w="15" w:type="dxa"/>
            </w:tcMar>
            <w:vAlign w:val="center"/>
          </w:tcPr>
          <w:p w14:paraId="7142F596">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7521983B">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6F23D8A6">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重要端口状态检查</w:t>
            </w:r>
          </w:p>
        </w:tc>
        <w:tc>
          <w:tcPr>
            <w:tcW w:w="4815" w:type="dxa"/>
            <w:tcBorders>
              <w:tl2br w:val="nil"/>
              <w:tr2bl w:val="nil"/>
            </w:tcBorders>
            <w:shd w:val="clear" w:color="auto" w:fill="auto"/>
            <w:tcMar>
              <w:top w:w="15" w:type="dxa"/>
              <w:left w:w="15" w:type="dxa"/>
              <w:right w:w="15" w:type="dxa"/>
            </w:tcMar>
            <w:vAlign w:val="center"/>
          </w:tcPr>
          <w:p w14:paraId="54B4D17E">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检查设备的重要端口当前状态，查看重要端口是否都开启，与对端的通信是否存在丢包或高时延</w:t>
            </w:r>
          </w:p>
        </w:tc>
      </w:tr>
      <w:tr w14:paraId="729EB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5302B9B7">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781F605A">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1719BA75">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日志信息检查</w:t>
            </w:r>
          </w:p>
        </w:tc>
        <w:tc>
          <w:tcPr>
            <w:tcW w:w="4815" w:type="dxa"/>
            <w:tcBorders>
              <w:tl2br w:val="nil"/>
              <w:tr2bl w:val="nil"/>
            </w:tcBorders>
            <w:shd w:val="clear" w:color="auto" w:fill="auto"/>
            <w:tcMar>
              <w:top w:w="15" w:type="dxa"/>
              <w:left w:w="15" w:type="dxa"/>
              <w:right w:w="15" w:type="dxa"/>
            </w:tcMar>
            <w:vAlign w:val="center"/>
          </w:tcPr>
          <w:p w14:paraId="43FC78DB">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检查设备的日志信息是否有异常</w:t>
            </w:r>
          </w:p>
        </w:tc>
      </w:tr>
      <w:tr w14:paraId="61D52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restart"/>
            <w:tcBorders>
              <w:tl2br w:val="nil"/>
              <w:tr2bl w:val="nil"/>
            </w:tcBorders>
            <w:shd w:val="clear" w:color="auto" w:fill="auto"/>
            <w:tcMar>
              <w:top w:w="15" w:type="dxa"/>
              <w:left w:w="15" w:type="dxa"/>
              <w:right w:w="15" w:type="dxa"/>
            </w:tcMar>
            <w:vAlign w:val="center"/>
          </w:tcPr>
          <w:p w14:paraId="2E7FDF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90" w:type="dxa"/>
            <w:vMerge w:val="restart"/>
            <w:tcBorders>
              <w:tl2br w:val="nil"/>
              <w:tr2bl w:val="nil"/>
            </w:tcBorders>
            <w:shd w:val="clear" w:color="auto" w:fill="auto"/>
            <w:tcMar>
              <w:top w:w="15" w:type="dxa"/>
              <w:left w:w="15" w:type="dxa"/>
              <w:right w:w="15" w:type="dxa"/>
            </w:tcMar>
            <w:vAlign w:val="center"/>
          </w:tcPr>
          <w:p w14:paraId="49ADBB5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接入层交换机</w:t>
            </w:r>
          </w:p>
        </w:tc>
        <w:tc>
          <w:tcPr>
            <w:tcW w:w="2115" w:type="dxa"/>
            <w:tcBorders>
              <w:tl2br w:val="nil"/>
              <w:tr2bl w:val="nil"/>
            </w:tcBorders>
            <w:shd w:val="clear" w:color="auto" w:fill="auto"/>
            <w:tcMar>
              <w:top w:w="15" w:type="dxa"/>
              <w:left w:w="15" w:type="dxa"/>
              <w:right w:w="15" w:type="dxa"/>
            </w:tcMar>
            <w:vAlign w:val="center"/>
          </w:tcPr>
          <w:p w14:paraId="59819723">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外观检查</w:t>
            </w:r>
          </w:p>
        </w:tc>
        <w:tc>
          <w:tcPr>
            <w:tcW w:w="4815" w:type="dxa"/>
            <w:tcBorders>
              <w:tl2br w:val="nil"/>
              <w:tr2bl w:val="nil"/>
            </w:tcBorders>
            <w:shd w:val="clear" w:color="auto" w:fill="auto"/>
            <w:tcMar>
              <w:top w:w="15" w:type="dxa"/>
              <w:left w:w="15" w:type="dxa"/>
              <w:right w:w="15" w:type="dxa"/>
            </w:tcMar>
            <w:vAlign w:val="center"/>
          </w:tcPr>
          <w:p w14:paraId="43D83018">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检查设备的接入线缆是否老化、松动；告警警示灯是否有亮。</w:t>
            </w:r>
          </w:p>
        </w:tc>
      </w:tr>
      <w:tr w14:paraId="2791CE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630" w:type="dxa"/>
            <w:vMerge w:val="continue"/>
            <w:tcBorders>
              <w:tl2br w:val="nil"/>
              <w:tr2bl w:val="nil"/>
            </w:tcBorders>
            <w:shd w:val="clear" w:color="auto" w:fill="auto"/>
            <w:tcMar>
              <w:top w:w="15" w:type="dxa"/>
              <w:left w:w="15" w:type="dxa"/>
              <w:right w:w="15" w:type="dxa"/>
            </w:tcMar>
            <w:vAlign w:val="center"/>
          </w:tcPr>
          <w:p w14:paraId="1FE36997">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3AE560CB">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4229A6E4">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设备信息检查</w:t>
            </w:r>
          </w:p>
        </w:tc>
        <w:tc>
          <w:tcPr>
            <w:tcW w:w="4815" w:type="dxa"/>
            <w:tcBorders>
              <w:tl2br w:val="nil"/>
              <w:tr2bl w:val="nil"/>
            </w:tcBorders>
            <w:shd w:val="clear" w:color="auto" w:fill="auto"/>
            <w:tcMar>
              <w:top w:w="15" w:type="dxa"/>
              <w:left w:w="15" w:type="dxa"/>
              <w:right w:w="15" w:type="dxa"/>
            </w:tcMar>
            <w:vAlign w:val="center"/>
          </w:tcPr>
          <w:p w14:paraId="41624EA7">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检查设备的内存大小和CPU使用率</w:t>
            </w:r>
          </w:p>
        </w:tc>
      </w:tr>
      <w:tr w14:paraId="06B7E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0" w:hRule="atLeast"/>
        </w:trPr>
        <w:tc>
          <w:tcPr>
            <w:tcW w:w="630" w:type="dxa"/>
            <w:vMerge w:val="continue"/>
            <w:tcBorders>
              <w:tl2br w:val="nil"/>
              <w:tr2bl w:val="nil"/>
            </w:tcBorders>
            <w:shd w:val="clear" w:color="auto" w:fill="auto"/>
            <w:tcMar>
              <w:top w:w="15" w:type="dxa"/>
              <w:left w:w="15" w:type="dxa"/>
              <w:right w:w="15" w:type="dxa"/>
            </w:tcMar>
            <w:vAlign w:val="center"/>
          </w:tcPr>
          <w:p w14:paraId="353F2EE7">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20B8AD9A">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1AB20D82">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重要端口状态检查</w:t>
            </w:r>
          </w:p>
        </w:tc>
        <w:tc>
          <w:tcPr>
            <w:tcW w:w="4815" w:type="dxa"/>
            <w:tcBorders>
              <w:tl2br w:val="nil"/>
              <w:tr2bl w:val="nil"/>
            </w:tcBorders>
            <w:shd w:val="clear" w:color="auto" w:fill="auto"/>
            <w:tcMar>
              <w:top w:w="15" w:type="dxa"/>
              <w:left w:w="15" w:type="dxa"/>
              <w:right w:w="15" w:type="dxa"/>
            </w:tcMar>
            <w:vAlign w:val="center"/>
          </w:tcPr>
          <w:p w14:paraId="0B440C04">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检查重要端口当前状态，查看重要端口是否都开启，端口协商后的模式是否正常，端口的配置信息是否正确。</w:t>
            </w:r>
          </w:p>
        </w:tc>
      </w:tr>
      <w:tr w14:paraId="40672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630" w:type="dxa"/>
            <w:vMerge w:val="continue"/>
            <w:tcBorders>
              <w:tl2br w:val="nil"/>
              <w:tr2bl w:val="nil"/>
            </w:tcBorders>
            <w:shd w:val="clear" w:color="auto" w:fill="auto"/>
            <w:tcMar>
              <w:top w:w="15" w:type="dxa"/>
              <w:left w:w="15" w:type="dxa"/>
              <w:right w:w="15" w:type="dxa"/>
            </w:tcMar>
            <w:vAlign w:val="center"/>
          </w:tcPr>
          <w:p w14:paraId="410F27FD">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23A71C9C">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2631B9B9">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日志信息检查</w:t>
            </w:r>
          </w:p>
        </w:tc>
        <w:tc>
          <w:tcPr>
            <w:tcW w:w="4815" w:type="dxa"/>
            <w:tcBorders>
              <w:tl2br w:val="nil"/>
              <w:tr2bl w:val="nil"/>
            </w:tcBorders>
            <w:shd w:val="clear" w:color="auto" w:fill="auto"/>
            <w:tcMar>
              <w:top w:w="15" w:type="dxa"/>
              <w:left w:w="15" w:type="dxa"/>
              <w:right w:w="15" w:type="dxa"/>
            </w:tcMar>
            <w:vAlign w:val="center"/>
          </w:tcPr>
          <w:p w14:paraId="73E44EF9">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检查设备的日志信息是否有异常</w:t>
            </w:r>
          </w:p>
        </w:tc>
      </w:tr>
      <w:tr w14:paraId="01BBA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restart"/>
            <w:tcBorders>
              <w:tl2br w:val="nil"/>
              <w:tr2bl w:val="nil"/>
            </w:tcBorders>
            <w:shd w:val="clear" w:color="auto" w:fill="auto"/>
            <w:tcMar>
              <w:top w:w="15" w:type="dxa"/>
              <w:left w:w="15" w:type="dxa"/>
              <w:right w:w="15" w:type="dxa"/>
            </w:tcMar>
            <w:vAlign w:val="center"/>
          </w:tcPr>
          <w:p w14:paraId="3F89C5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290" w:type="dxa"/>
            <w:vMerge w:val="restart"/>
            <w:tcBorders>
              <w:tl2br w:val="nil"/>
              <w:tr2bl w:val="nil"/>
            </w:tcBorders>
            <w:shd w:val="clear" w:color="auto" w:fill="auto"/>
            <w:tcMar>
              <w:top w:w="15" w:type="dxa"/>
              <w:left w:w="15" w:type="dxa"/>
              <w:right w:w="15" w:type="dxa"/>
            </w:tcMar>
            <w:vAlign w:val="center"/>
          </w:tcPr>
          <w:p w14:paraId="1E13ED38">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防火墙/上网行为管理</w:t>
            </w:r>
          </w:p>
        </w:tc>
        <w:tc>
          <w:tcPr>
            <w:tcW w:w="2115" w:type="dxa"/>
            <w:tcBorders>
              <w:tl2br w:val="nil"/>
              <w:tr2bl w:val="nil"/>
            </w:tcBorders>
            <w:shd w:val="clear" w:color="auto" w:fill="auto"/>
            <w:tcMar>
              <w:top w:w="15" w:type="dxa"/>
              <w:left w:w="15" w:type="dxa"/>
              <w:right w:w="15" w:type="dxa"/>
            </w:tcMar>
            <w:vAlign w:val="center"/>
          </w:tcPr>
          <w:p w14:paraId="5B560564">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设备外观</w:t>
            </w:r>
          </w:p>
        </w:tc>
        <w:tc>
          <w:tcPr>
            <w:tcW w:w="4815" w:type="dxa"/>
            <w:tcBorders>
              <w:tl2br w:val="nil"/>
              <w:tr2bl w:val="nil"/>
            </w:tcBorders>
            <w:shd w:val="clear" w:color="auto" w:fill="auto"/>
            <w:tcMar>
              <w:top w:w="15" w:type="dxa"/>
              <w:left w:w="15" w:type="dxa"/>
              <w:right w:w="15" w:type="dxa"/>
            </w:tcMar>
            <w:vAlign w:val="center"/>
          </w:tcPr>
          <w:p w14:paraId="31708DD4">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检查设备电源、温度、风扇状态、指示灯等硬件运行情况是否正常。</w:t>
            </w:r>
          </w:p>
        </w:tc>
      </w:tr>
      <w:tr w14:paraId="21799B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 w:hRule="atLeast"/>
        </w:trPr>
        <w:tc>
          <w:tcPr>
            <w:tcW w:w="630" w:type="dxa"/>
            <w:vMerge w:val="continue"/>
            <w:tcBorders>
              <w:tl2br w:val="nil"/>
              <w:tr2bl w:val="nil"/>
            </w:tcBorders>
            <w:shd w:val="clear" w:color="auto" w:fill="auto"/>
            <w:tcMar>
              <w:top w:w="15" w:type="dxa"/>
              <w:left w:w="15" w:type="dxa"/>
              <w:right w:w="15" w:type="dxa"/>
            </w:tcMar>
            <w:vAlign w:val="center"/>
          </w:tcPr>
          <w:p w14:paraId="0ECF1DFC">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174CA1BF">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2E6EDD43">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系统信息</w:t>
            </w:r>
          </w:p>
        </w:tc>
        <w:tc>
          <w:tcPr>
            <w:tcW w:w="4815" w:type="dxa"/>
            <w:tcBorders>
              <w:tl2br w:val="nil"/>
              <w:tr2bl w:val="nil"/>
            </w:tcBorders>
            <w:shd w:val="clear" w:color="auto" w:fill="auto"/>
            <w:tcMar>
              <w:top w:w="15" w:type="dxa"/>
              <w:left w:w="15" w:type="dxa"/>
              <w:right w:w="15" w:type="dxa"/>
            </w:tcMar>
            <w:vAlign w:val="center"/>
          </w:tcPr>
          <w:p w14:paraId="3B391FD5">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查看CPU、内存、存储介质空间等设备资源使用情况。</w:t>
            </w:r>
          </w:p>
        </w:tc>
      </w:tr>
      <w:tr w14:paraId="29D358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630" w:type="dxa"/>
            <w:vMerge w:val="continue"/>
            <w:tcBorders>
              <w:tl2br w:val="nil"/>
              <w:tr2bl w:val="nil"/>
            </w:tcBorders>
            <w:shd w:val="clear" w:color="auto" w:fill="auto"/>
            <w:tcMar>
              <w:top w:w="15" w:type="dxa"/>
              <w:left w:w="15" w:type="dxa"/>
              <w:right w:w="15" w:type="dxa"/>
            </w:tcMar>
            <w:vAlign w:val="center"/>
          </w:tcPr>
          <w:p w14:paraId="185478C3">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75023EBB">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0A9C66D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设备版本</w:t>
            </w:r>
          </w:p>
        </w:tc>
        <w:tc>
          <w:tcPr>
            <w:tcW w:w="4815" w:type="dxa"/>
            <w:tcBorders>
              <w:tl2br w:val="nil"/>
              <w:tr2bl w:val="nil"/>
            </w:tcBorders>
            <w:shd w:val="clear" w:color="auto" w:fill="auto"/>
            <w:tcMar>
              <w:top w:w="15" w:type="dxa"/>
              <w:left w:w="15" w:type="dxa"/>
              <w:right w:w="15" w:type="dxa"/>
            </w:tcMar>
            <w:vAlign w:val="center"/>
          </w:tcPr>
          <w:p w14:paraId="02FCCEDE">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查看软件版本、特征库版本</w:t>
            </w:r>
          </w:p>
        </w:tc>
      </w:tr>
      <w:tr w14:paraId="6E872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630" w:type="dxa"/>
            <w:vMerge w:val="continue"/>
            <w:tcBorders>
              <w:tl2br w:val="nil"/>
              <w:tr2bl w:val="nil"/>
            </w:tcBorders>
            <w:shd w:val="clear" w:color="auto" w:fill="auto"/>
            <w:tcMar>
              <w:top w:w="15" w:type="dxa"/>
              <w:left w:w="15" w:type="dxa"/>
              <w:right w:w="15" w:type="dxa"/>
            </w:tcMar>
            <w:vAlign w:val="center"/>
          </w:tcPr>
          <w:p w14:paraId="3BF8E53C">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3434E0C0">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5887FEF2">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网络流量</w:t>
            </w:r>
          </w:p>
        </w:tc>
        <w:tc>
          <w:tcPr>
            <w:tcW w:w="4815" w:type="dxa"/>
            <w:tcBorders>
              <w:tl2br w:val="nil"/>
              <w:tr2bl w:val="nil"/>
            </w:tcBorders>
            <w:shd w:val="clear" w:color="auto" w:fill="auto"/>
            <w:tcMar>
              <w:top w:w="15" w:type="dxa"/>
              <w:left w:w="15" w:type="dxa"/>
              <w:right w:w="15" w:type="dxa"/>
            </w:tcMar>
            <w:vAlign w:val="center"/>
          </w:tcPr>
          <w:p w14:paraId="228EB403">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检查各网口的发送和接收流速</w:t>
            </w:r>
          </w:p>
        </w:tc>
      </w:tr>
      <w:tr w14:paraId="54E97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630" w:type="dxa"/>
            <w:vMerge w:val="continue"/>
            <w:tcBorders>
              <w:tl2br w:val="nil"/>
              <w:tr2bl w:val="nil"/>
            </w:tcBorders>
            <w:shd w:val="clear" w:color="auto" w:fill="auto"/>
            <w:tcMar>
              <w:top w:w="15" w:type="dxa"/>
              <w:left w:w="15" w:type="dxa"/>
              <w:right w:w="15" w:type="dxa"/>
            </w:tcMar>
            <w:vAlign w:val="center"/>
          </w:tcPr>
          <w:p w14:paraId="5934A253">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3FFE6467">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3AD4BB07">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安全策略</w:t>
            </w:r>
          </w:p>
        </w:tc>
        <w:tc>
          <w:tcPr>
            <w:tcW w:w="4815" w:type="dxa"/>
            <w:tcBorders>
              <w:tl2br w:val="nil"/>
              <w:tr2bl w:val="nil"/>
            </w:tcBorders>
            <w:shd w:val="clear" w:color="auto" w:fill="auto"/>
            <w:tcMar>
              <w:top w:w="15" w:type="dxa"/>
              <w:left w:w="15" w:type="dxa"/>
              <w:right w:w="15" w:type="dxa"/>
            </w:tcMar>
            <w:vAlign w:val="center"/>
          </w:tcPr>
          <w:p w14:paraId="46E42CBA">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访问控制策略是否符合当前安全需求</w:t>
            </w:r>
          </w:p>
        </w:tc>
      </w:tr>
      <w:tr w14:paraId="2669BA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5" w:hRule="atLeast"/>
        </w:trPr>
        <w:tc>
          <w:tcPr>
            <w:tcW w:w="630" w:type="dxa"/>
            <w:vMerge w:val="continue"/>
            <w:tcBorders>
              <w:tl2br w:val="nil"/>
              <w:tr2bl w:val="nil"/>
            </w:tcBorders>
            <w:shd w:val="clear" w:color="auto" w:fill="auto"/>
            <w:tcMar>
              <w:top w:w="15" w:type="dxa"/>
              <w:left w:w="15" w:type="dxa"/>
              <w:right w:w="15" w:type="dxa"/>
            </w:tcMar>
            <w:vAlign w:val="center"/>
          </w:tcPr>
          <w:p w14:paraId="790053A7">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4B5579DA">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3B29642A">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日志系统</w:t>
            </w:r>
          </w:p>
        </w:tc>
        <w:tc>
          <w:tcPr>
            <w:tcW w:w="4815" w:type="dxa"/>
            <w:tcBorders>
              <w:tl2br w:val="nil"/>
              <w:tr2bl w:val="nil"/>
            </w:tcBorders>
            <w:shd w:val="clear" w:color="auto" w:fill="auto"/>
            <w:tcMar>
              <w:top w:w="15" w:type="dxa"/>
              <w:left w:w="15" w:type="dxa"/>
              <w:right w:w="15" w:type="dxa"/>
            </w:tcMar>
            <w:vAlign w:val="center"/>
          </w:tcPr>
          <w:p w14:paraId="40172D15">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查看安全设备日志是否记录完整，日志查询是否正常，日志存储期限是否符合要求，当前日志是否为最新日志，磁盘空间是否足够；对日志进行分析。</w:t>
            </w:r>
          </w:p>
        </w:tc>
      </w:tr>
      <w:tr w14:paraId="22331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630" w:type="dxa"/>
            <w:vMerge w:val="continue"/>
            <w:tcBorders>
              <w:tl2br w:val="nil"/>
              <w:tr2bl w:val="nil"/>
            </w:tcBorders>
            <w:shd w:val="clear" w:color="auto" w:fill="auto"/>
            <w:tcMar>
              <w:top w:w="15" w:type="dxa"/>
              <w:left w:w="15" w:type="dxa"/>
              <w:right w:w="15" w:type="dxa"/>
            </w:tcMar>
            <w:vAlign w:val="center"/>
          </w:tcPr>
          <w:p w14:paraId="2A31A483">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48A93627">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188882DD">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数据备份</w:t>
            </w:r>
          </w:p>
        </w:tc>
        <w:tc>
          <w:tcPr>
            <w:tcW w:w="4815" w:type="dxa"/>
            <w:tcBorders>
              <w:tl2br w:val="nil"/>
              <w:tr2bl w:val="nil"/>
            </w:tcBorders>
            <w:shd w:val="clear" w:color="auto" w:fill="auto"/>
            <w:tcMar>
              <w:top w:w="15" w:type="dxa"/>
              <w:left w:w="15" w:type="dxa"/>
              <w:right w:w="15" w:type="dxa"/>
            </w:tcMar>
            <w:vAlign w:val="center"/>
          </w:tcPr>
          <w:p w14:paraId="2DB98BBE">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备份设备的配置文件并下载本地进行保存</w:t>
            </w:r>
          </w:p>
        </w:tc>
      </w:tr>
      <w:tr w14:paraId="17BCB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restart"/>
            <w:tcBorders>
              <w:tl2br w:val="nil"/>
              <w:tr2bl w:val="nil"/>
            </w:tcBorders>
            <w:shd w:val="clear" w:color="auto" w:fill="auto"/>
            <w:tcMar>
              <w:top w:w="15" w:type="dxa"/>
              <w:left w:w="15" w:type="dxa"/>
              <w:right w:w="15" w:type="dxa"/>
            </w:tcMar>
            <w:vAlign w:val="center"/>
          </w:tcPr>
          <w:p w14:paraId="4D2FEB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290" w:type="dxa"/>
            <w:vMerge w:val="restart"/>
            <w:tcBorders>
              <w:tl2br w:val="nil"/>
              <w:tr2bl w:val="nil"/>
            </w:tcBorders>
            <w:shd w:val="clear" w:color="auto" w:fill="auto"/>
            <w:tcMar>
              <w:top w:w="15" w:type="dxa"/>
              <w:left w:w="15" w:type="dxa"/>
              <w:right w:w="15" w:type="dxa"/>
            </w:tcMar>
            <w:vAlign w:val="center"/>
          </w:tcPr>
          <w:p w14:paraId="3ED01F53">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入侵检测系统</w:t>
            </w:r>
          </w:p>
        </w:tc>
        <w:tc>
          <w:tcPr>
            <w:tcW w:w="2115" w:type="dxa"/>
            <w:tcBorders>
              <w:tl2br w:val="nil"/>
              <w:tr2bl w:val="nil"/>
            </w:tcBorders>
            <w:shd w:val="clear" w:color="auto" w:fill="auto"/>
            <w:tcMar>
              <w:top w:w="15" w:type="dxa"/>
              <w:left w:w="15" w:type="dxa"/>
              <w:right w:w="15" w:type="dxa"/>
            </w:tcMar>
            <w:vAlign w:val="center"/>
          </w:tcPr>
          <w:p w14:paraId="4201177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设备外观</w:t>
            </w:r>
          </w:p>
        </w:tc>
        <w:tc>
          <w:tcPr>
            <w:tcW w:w="4815" w:type="dxa"/>
            <w:tcBorders>
              <w:tl2br w:val="nil"/>
              <w:tr2bl w:val="nil"/>
            </w:tcBorders>
            <w:shd w:val="clear" w:color="auto" w:fill="auto"/>
            <w:tcMar>
              <w:top w:w="15" w:type="dxa"/>
              <w:left w:w="15" w:type="dxa"/>
              <w:right w:w="15" w:type="dxa"/>
            </w:tcMar>
            <w:vAlign w:val="center"/>
          </w:tcPr>
          <w:p w14:paraId="76C22FC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检查设备电源、温度、风扇状态、指示灯等硬件运行情况是否正常。</w:t>
            </w:r>
          </w:p>
        </w:tc>
      </w:tr>
      <w:tr w14:paraId="17FF7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5" w:hRule="atLeast"/>
        </w:trPr>
        <w:tc>
          <w:tcPr>
            <w:tcW w:w="630" w:type="dxa"/>
            <w:vMerge w:val="continue"/>
            <w:tcBorders>
              <w:tl2br w:val="nil"/>
              <w:tr2bl w:val="nil"/>
            </w:tcBorders>
            <w:shd w:val="clear" w:color="auto" w:fill="auto"/>
            <w:tcMar>
              <w:top w:w="15" w:type="dxa"/>
              <w:left w:w="15" w:type="dxa"/>
              <w:right w:w="15" w:type="dxa"/>
            </w:tcMar>
            <w:vAlign w:val="center"/>
          </w:tcPr>
          <w:p w14:paraId="6094A615">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56699BAD">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1732AE7B">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系统信息</w:t>
            </w:r>
          </w:p>
        </w:tc>
        <w:tc>
          <w:tcPr>
            <w:tcW w:w="4815" w:type="dxa"/>
            <w:tcBorders>
              <w:tl2br w:val="nil"/>
              <w:tr2bl w:val="nil"/>
            </w:tcBorders>
            <w:shd w:val="clear" w:color="auto" w:fill="auto"/>
            <w:tcMar>
              <w:top w:w="15" w:type="dxa"/>
              <w:left w:w="15" w:type="dxa"/>
              <w:right w:w="15" w:type="dxa"/>
            </w:tcMar>
            <w:vAlign w:val="center"/>
          </w:tcPr>
          <w:p w14:paraId="3338CB3F">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查看CPU、内存、存储介质空间等设备资源使用情况。</w:t>
            </w:r>
          </w:p>
        </w:tc>
      </w:tr>
      <w:tr w14:paraId="0F440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630" w:type="dxa"/>
            <w:vMerge w:val="continue"/>
            <w:tcBorders>
              <w:tl2br w:val="nil"/>
              <w:tr2bl w:val="nil"/>
            </w:tcBorders>
            <w:shd w:val="clear" w:color="auto" w:fill="auto"/>
            <w:tcMar>
              <w:top w:w="15" w:type="dxa"/>
              <w:left w:w="15" w:type="dxa"/>
              <w:right w:w="15" w:type="dxa"/>
            </w:tcMar>
            <w:vAlign w:val="center"/>
          </w:tcPr>
          <w:p w14:paraId="629AA1BD">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635C8F5E">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047088B0">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设备版本</w:t>
            </w:r>
          </w:p>
        </w:tc>
        <w:tc>
          <w:tcPr>
            <w:tcW w:w="4815" w:type="dxa"/>
            <w:tcBorders>
              <w:tl2br w:val="nil"/>
              <w:tr2bl w:val="nil"/>
            </w:tcBorders>
            <w:shd w:val="clear" w:color="auto" w:fill="auto"/>
            <w:tcMar>
              <w:top w:w="15" w:type="dxa"/>
              <w:left w:w="15" w:type="dxa"/>
              <w:right w:w="15" w:type="dxa"/>
            </w:tcMar>
            <w:vAlign w:val="center"/>
          </w:tcPr>
          <w:p w14:paraId="4C29AEF8">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查看软件版本、特征库版本</w:t>
            </w:r>
          </w:p>
        </w:tc>
      </w:tr>
      <w:tr w14:paraId="07B5FC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630" w:type="dxa"/>
            <w:vMerge w:val="continue"/>
            <w:tcBorders>
              <w:tl2br w:val="nil"/>
              <w:tr2bl w:val="nil"/>
            </w:tcBorders>
            <w:shd w:val="clear" w:color="auto" w:fill="auto"/>
            <w:tcMar>
              <w:top w:w="15" w:type="dxa"/>
              <w:left w:w="15" w:type="dxa"/>
              <w:right w:w="15" w:type="dxa"/>
            </w:tcMar>
            <w:vAlign w:val="center"/>
          </w:tcPr>
          <w:p w14:paraId="6F004535">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534E3A5A">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280790A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网络流量</w:t>
            </w:r>
          </w:p>
        </w:tc>
        <w:tc>
          <w:tcPr>
            <w:tcW w:w="4815" w:type="dxa"/>
            <w:tcBorders>
              <w:tl2br w:val="nil"/>
              <w:tr2bl w:val="nil"/>
            </w:tcBorders>
            <w:shd w:val="clear" w:color="auto" w:fill="auto"/>
            <w:tcMar>
              <w:top w:w="15" w:type="dxa"/>
              <w:left w:w="15" w:type="dxa"/>
              <w:right w:w="15" w:type="dxa"/>
            </w:tcMar>
            <w:vAlign w:val="center"/>
          </w:tcPr>
          <w:p w14:paraId="74B1CCA3">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检查各网口的发送和接收流速</w:t>
            </w:r>
          </w:p>
        </w:tc>
      </w:tr>
      <w:tr w14:paraId="660A30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630" w:type="dxa"/>
            <w:vMerge w:val="continue"/>
            <w:tcBorders>
              <w:tl2br w:val="nil"/>
              <w:tr2bl w:val="nil"/>
            </w:tcBorders>
            <w:shd w:val="clear" w:color="auto" w:fill="auto"/>
            <w:tcMar>
              <w:top w:w="15" w:type="dxa"/>
              <w:left w:w="15" w:type="dxa"/>
              <w:right w:w="15" w:type="dxa"/>
            </w:tcMar>
            <w:vAlign w:val="center"/>
          </w:tcPr>
          <w:p w14:paraId="05CDE626">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646E09AE">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476BC905">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运行状态</w:t>
            </w:r>
          </w:p>
        </w:tc>
        <w:tc>
          <w:tcPr>
            <w:tcW w:w="4815" w:type="dxa"/>
            <w:tcBorders>
              <w:tl2br w:val="nil"/>
              <w:tr2bl w:val="nil"/>
            </w:tcBorders>
            <w:shd w:val="clear" w:color="auto" w:fill="auto"/>
            <w:tcMar>
              <w:top w:w="15" w:type="dxa"/>
              <w:left w:w="15" w:type="dxa"/>
              <w:right w:w="15" w:type="dxa"/>
            </w:tcMar>
            <w:vAlign w:val="center"/>
          </w:tcPr>
          <w:p w14:paraId="33D13526">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查看设备的告警情况，探测器的状态；</w:t>
            </w:r>
          </w:p>
        </w:tc>
      </w:tr>
      <w:tr w14:paraId="4D5756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630" w:type="dxa"/>
            <w:vMerge w:val="continue"/>
            <w:tcBorders>
              <w:tl2br w:val="nil"/>
              <w:tr2bl w:val="nil"/>
            </w:tcBorders>
            <w:shd w:val="clear" w:color="auto" w:fill="auto"/>
            <w:tcMar>
              <w:top w:w="15" w:type="dxa"/>
              <w:left w:w="15" w:type="dxa"/>
              <w:right w:w="15" w:type="dxa"/>
            </w:tcMar>
            <w:vAlign w:val="center"/>
          </w:tcPr>
          <w:p w14:paraId="28BE90DA">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2FC9B638">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1E7A421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设备管理</w:t>
            </w:r>
          </w:p>
        </w:tc>
        <w:tc>
          <w:tcPr>
            <w:tcW w:w="4815" w:type="dxa"/>
            <w:tcBorders>
              <w:tl2br w:val="nil"/>
              <w:tr2bl w:val="nil"/>
            </w:tcBorders>
            <w:shd w:val="clear" w:color="auto" w:fill="auto"/>
            <w:tcMar>
              <w:top w:w="15" w:type="dxa"/>
              <w:left w:w="15" w:type="dxa"/>
              <w:right w:w="15" w:type="dxa"/>
            </w:tcMar>
            <w:vAlign w:val="center"/>
          </w:tcPr>
          <w:p w14:paraId="1308FDF6">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控制台是否可以正常管理设备；</w:t>
            </w:r>
          </w:p>
        </w:tc>
      </w:tr>
      <w:tr w14:paraId="55A9A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trPr>
        <w:tc>
          <w:tcPr>
            <w:tcW w:w="630" w:type="dxa"/>
            <w:vMerge w:val="continue"/>
            <w:tcBorders>
              <w:tl2br w:val="nil"/>
              <w:tr2bl w:val="nil"/>
            </w:tcBorders>
            <w:shd w:val="clear" w:color="auto" w:fill="auto"/>
            <w:tcMar>
              <w:top w:w="15" w:type="dxa"/>
              <w:left w:w="15" w:type="dxa"/>
              <w:right w:w="15" w:type="dxa"/>
            </w:tcMar>
            <w:vAlign w:val="center"/>
          </w:tcPr>
          <w:p w14:paraId="1EC2C818">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524E3D2D">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3460830A">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日志系统</w:t>
            </w:r>
          </w:p>
        </w:tc>
        <w:tc>
          <w:tcPr>
            <w:tcW w:w="4815" w:type="dxa"/>
            <w:tcBorders>
              <w:tl2br w:val="nil"/>
              <w:tr2bl w:val="nil"/>
            </w:tcBorders>
            <w:shd w:val="clear" w:color="auto" w:fill="auto"/>
            <w:tcMar>
              <w:top w:w="15" w:type="dxa"/>
              <w:left w:w="15" w:type="dxa"/>
              <w:right w:w="15" w:type="dxa"/>
            </w:tcMar>
            <w:vAlign w:val="center"/>
          </w:tcPr>
          <w:p w14:paraId="20895410">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查看设备日志是否记录完整，日志查询是否正常，日志存储期限是否符合要求，当前日志是否为最新日志，磁盘空间是否足够；对日志进行分析。</w:t>
            </w:r>
          </w:p>
        </w:tc>
      </w:tr>
      <w:tr w14:paraId="69216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restart"/>
            <w:tcBorders>
              <w:tl2br w:val="nil"/>
              <w:tr2bl w:val="nil"/>
            </w:tcBorders>
            <w:shd w:val="clear" w:color="auto" w:fill="auto"/>
            <w:tcMar>
              <w:top w:w="15" w:type="dxa"/>
              <w:left w:w="15" w:type="dxa"/>
              <w:right w:w="15" w:type="dxa"/>
            </w:tcMar>
            <w:vAlign w:val="center"/>
          </w:tcPr>
          <w:p w14:paraId="73592D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90" w:type="dxa"/>
            <w:vMerge w:val="restart"/>
            <w:tcBorders>
              <w:tl2br w:val="nil"/>
              <w:tr2bl w:val="nil"/>
            </w:tcBorders>
            <w:shd w:val="clear" w:color="auto" w:fill="auto"/>
            <w:tcMar>
              <w:top w:w="15" w:type="dxa"/>
              <w:left w:w="15" w:type="dxa"/>
              <w:right w:w="15" w:type="dxa"/>
            </w:tcMar>
            <w:vAlign w:val="center"/>
          </w:tcPr>
          <w:p w14:paraId="4782A7C4">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其它安全设备</w:t>
            </w:r>
          </w:p>
        </w:tc>
        <w:tc>
          <w:tcPr>
            <w:tcW w:w="2115" w:type="dxa"/>
            <w:tcBorders>
              <w:tl2br w:val="nil"/>
              <w:tr2bl w:val="nil"/>
            </w:tcBorders>
            <w:shd w:val="clear" w:color="auto" w:fill="auto"/>
            <w:tcMar>
              <w:top w:w="15" w:type="dxa"/>
              <w:left w:w="15" w:type="dxa"/>
              <w:right w:w="15" w:type="dxa"/>
            </w:tcMar>
            <w:vAlign w:val="center"/>
          </w:tcPr>
          <w:p w14:paraId="0DF9FBE3">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设备外观</w:t>
            </w:r>
          </w:p>
        </w:tc>
        <w:tc>
          <w:tcPr>
            <w:tcW w:w="4815" w:type="dxa"/>
            <w:tcBorders>
              <w:tl2br w:val="nil"/>
              <w:tr2bl w:val="nil"/>
            </w:tcBorders>
            <w:shd w:val="clear" w:color="auto" w:fill="auto"/>
            <w:tcMar>
              <w:top w:w="15" w:type="dxa"/>
              <w:left w:w="15" w:type="dxa"/>
              <w:right w:w="15" w:type="dxa"/>
            </w:tcMar>
            <w:vAlign w:val="center"/>
          </w:tcPr>
          <w:p w14:paraId="46AF4804">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检查设备电源、温度、风扇状态、指示灯等硬件运行情况是否正常。</w:t>
            </w:r>
          </w:p>
        </w:tc>
      </w:tr>
      <w:tr w14:paraId="5EB13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trPr>
        <w:tc>
          <w:tcPr>
            <w:tcW w:w="630" w:type="dxa"/>
            <w:vMerge w:val="continue"/>
            <w:tcBorders>
              <w:tl2br w:val="nil"/>
              <w:tr2bl w:val="nil"/>
            </w:tcBorders>
            <w:shd w:val="clear" w:color="auto" w:fill="auto"/>
            <w:tcMar>
              <w:top w:w="15" w:type="dxa"/>
              <w:left w:w="15" w:type="dxa"/>
              <w:right w:w="15" w:type="dxa"/>
            </w:tcMar>
            <w:vAlign w:val="center"/>
          </w:tcPr>
          <w:p w14:paraId="774EA765">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47A56FAC">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0B497E22">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设备管理</w:t>
            </w:r>
          </w:p>
        </w:tc>
        <w:tc>
          <w:tcPr>
            <w:tcW w:w="4815" w:type="dxa"/>
            <w:tcBorders>
              <w:tl2br w:val="nil"/>
              <w:tr2bl w:val="nil"/>
            </w:tcBorders>
            <w:shd w:val="clear" w:color="auto" w:fill="auto"/>
            <w:tcMar>
              <w:top w:w="15" w:type="dxa"/>
              <w:left w:w="15" w:type="dxa"/>
              <w:right w:w="15" w:type="dxa"/>
            </w:tcMar>
            <w:vAlign w:val="center"/>
          </w:tcPr>
          <w:p w14:paraId="60B5FC18">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登录设备的管理界面（页面或命令行），显示是否正常，是否可以正常管理设备。</w:t>
            </w:r>
          </w:p>
        </w:tc>
      </w:tr>
      <w:tr w14:paraId="7189D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6AB72388">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75FFEF67">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60E093A6">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系统信息</w:t>
            </w:r>
          </w:p>
        </w:tc>
        <w:tc>
          <w:tcPr>
            <w:tcW w:w="4815" w:type="dxa"/>
            <w:tcBorders>
              <w:tl2br w:val="nil"/>
              <w:tr2bl w:val="nil"/>
            </w:tcBorders>
            <w:shd w:val="clear" w:color="auto" w:fill="auto"/>
            <w:tcMar>
              <w:top w:w="15" w:type="dxa"/>
              <w:left w:w="15" w:type="dxa"/>
              <w:right w:w="15" w:type="dxa"/>
            </w:tcMar>
            <w:vAlign w:val="center"/>
          </w:tcPr>
          <w:p w14:paraId="3DE8E29C">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查看CPU、内存、存储介质空间等设备资源使用情况。</w:t>
            </w:r>
          </w:p>
        </w:tc>
      </w:tr>
      <w:tr w14:paraId="752B9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33E13EA2">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257D4B4E">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1BF5DF8B">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设备版本</w:t>
            </w:r>
          </w:p>
        </w:tc>
        <w:tc>
          <w:tcPr>
            <w:tcW w:w="4815" w:type="dxa"/>
            <w:tcBorders>
              <w:tl2br w:val="nil"/>
              <w:tr2bl w:val="nil"/>
            </w:tcBorders>
            <w:shd w:val="clear" w:color="auto" w:fill="auto"/>
            <w:tcMar>
              <w:top w:w="15" w:type="dxa"/>
              <w:left w:w="15" w:type="dxa"/>
              <w:right w:w="15" w:type="dxa"/>
            </w:tcMar>
            <w:vAlign w:val="center"/>
          </w:tcPr>
          <w:p w14:paraId="7D00217D">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查看软件版本、特征库版本是否最新</w:t>
            </w:r>
          </w:p>
        </w:tc>
      </w:tr>
      <w:tr w14:paraId="5C55B4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6BA29CB5">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393BC289">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1F3663D4">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重要端口检查</w:t>
            </w:r>
          </w:p>
        </w:tc>
        <w:tc>
          <w:tcPr>
            <w:tcW w:w="4815" w:type="dxa"/>
            <w:tcBorders>
              <w:tl2br w:val="nil"/>
              <w:tr2bl w:val="nil"/>
            </w:tcBorders>
            <w:shd w:val="clear" w:color="auto" w:fill="auto"/>
            <w:tcMar>
              <w:top w:w="15" w:type="dxa"/>
              <w:left w:w="15" w:type="dxa"/>
              <w:right w:w="15" w:type="dxa"/>
            </w:tcMar>
            <w:vAlign w:val="center"/>
          </w:tcPr>
          <w:p w14:paraId="49224282">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检查设备重要端口当前状态是否正常，进出流量是否正常，</w:t>
            </w:r>
          </w:p>
        </w:tc>
      </w:tr>
      <w:tr w14:paraId="0C13CA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15F9AF56">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1CE3A6C3">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6168B0CB">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安全功能</w:t>
            </w:r>
          </w:p>
        </w:tc>
        <w:tc>
          <w:tcPr>
            <w:tcW w:w="4815" w:type="dxa"/>
            <w:tcBorders>
              <w:tl2br w:val="nil"/>
              <w:tr2bl w:val="nil"/>
            </w:tcBorders>
            <w:shd w:val="clear" w:color="auto" w:fill="auto"/>
            <w:tcMar>
              <w:top w:w="15" w:type="dxa"/>
              <w:left w:w="15" w:type="dxa"/>
              <w:right w:w="15" w:type="dxa"/>
            </w:tcMar>
            <w:vAlign w:val="center"/>
          </w:tcPr>
          <w:p w14:paraId="4D383B06">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安全功能是否运行正常，安全策略是否配置正常。</w:t>
            </w:r>
          </w:p>
        </w:tc>
      </w:tr>
      <w:tr w14:paraId="7E4CE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1B97E81E">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79B36093">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64A5446E">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数据备份</w:t>
            </w:r>
          </w:p>
        </w:tc>
        <w:tc>
          <w:tcPr>
            <w:tcW w:w="4815" w:type="dxa"/>
            <w:tcBorders>
              <w:tl2br w:val="nil"/>
              <w:tr2bl w:val="nil"/>
            </w:tcBorders>
            <w:shd w:val="clear" w:color="auto" w:fill="auto"/>
            <w:tcMar>
              <w:top w:w="15" w:type="dxa"/>
              <w:left w:w="15" w:type="dxa"/>
              <w:right w:w="15" w:type="dxa"/>
            </w:tcMar>
            <w:vAlign w:val="center"/>
          </w:tcPr>
          <w:p w14:paraId="28E02ADF">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备份设备的配置文件并下载本地进行保存</w:t>
            </w:r>
          </w:p>
        </w:tc>
      </w:tr>
      <w:tr w14:paraId="20BE7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restart"/>
            <w:tcBorders>
              <w:tl2br w:val="nil"/>
              <w:tr2bl w:val="nil"/>
            </w:tcBorders>
            <w:shd w:val="clear" w:color="auto" w:fill="auto"/>
            <w:tcMar>
              <w:top w:w="15" w:type="dxa"/>
              <w:left w:w="15" w:type="dxa"/>
              <w:right w:w="15" w:type="dxa"/>
            </w:tcMar>
            <w:vAlign w:val="center"/>
          </w:tcPr>
          <w:p w14:paraId="0C1903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290" w:type="dxa"/>
            <w:vMerge w:val="restart"/>
            <w:tcBorders>
              <w:tl2br w:val="nil"/>
              <w:tr2bl w:val="nil"/>
            </w:tcBorders>
            <w:shd w:val="clear" w:color="auto" w:fill="auto"/>
            <w:tcMar>
              <w:top w:w="15" w:type="dxa"/>
              <w:left w:w="15" w:type="dxa"/>
              <w:right w:w="15" w:type="dxa"/>
            </w:tcMar>
            <w:vAlign w:val="center"/>
          </w:tcPr>
          <w:p w14:paraId="7FD7FBFB">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视频会议服务器终端</w:t>
            </w:r>
          </w:p>
        </w:tc>
        <w:tc>
          <w:tcPr>
            <w:tcW w:w="2115" w:type="dxa"/>
            <w:tcBorders>
              <w:tl2br w:val="nil"/>
              <w:tr2bl w:val="nil"/>
            </w:tcBorders>
            <w:shd w:val="clear" w:color="auto" w:fill="auto"/>
            <w:tcMar>
              <w:top w:w="15" w:type="dxa"/>
              <w:left w:w="15" w:type="dxa"/>
              <w:right w:w="15" w:type="dxa"/>
            </w:tcMar>
            <w:vAlign w:val="center"/>
          </w:tcPr>
          <w:p w14:paraId="4DCF1FD7">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主机设备状况</w:t>
            </w:r>
          </w:p>
        </w:tc>
        <w:tc>
          <w:tcPr>
            <w:tcW w:w="4815" w:type="dxa"/>
            <w:tcBorders>
              <w:tl2br w:val="nil"/>
              <w:tr2bl w:val="nil"/>
            </w:tcBorders>
            <w:shd w:val="clear" w:color="auto" w:fill="auto"/>
            <w:tcMar>
              <w:top w:w="15" w:type="dxa"/>
              <w:left w:w="15" w:type="dxa"/>
              <w:right w:w="15" w:type="dxa"/>
            </w:tcMar>
            <w:vAlign w:val="center"/>
          </w:tcPr>
          <w:p w14:paraId="4FC54843">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设备外观是否正常、设备运行是否正常、设备指示灯是否正常</w:t>
            </w:r>
          </w:p>
        </w:tc>
      </w:tr>
      <w:tr w14:paraId="78089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648A429C">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07B45E58">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5349FD0F">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软件版本（可选）</w:t>
            </w:r>
          </w:p>
        </w:tc>
        <w:tc>
          <w:tcPr>
            <w:tcW w:w="4815" w:type="dxa"/>
            <w:tcBorders>
              <w:tl2br w:val="nil"/>
              <w:tr2bl w:val="nil"/>
            </w:tcBorders>
            <w:shd w:val="clear" w:color="auto" w:fill="auto"/>
            <w:tcMar>
              <w:top w:w="15" w:type="dxa"/>
              <w:left w:w="15" w:type="dxa"/>
              <w:right w:w="15" w:type="dxa"/>
            </w:tcMar>
            <w:vAlign w:val="center"/>
          </w:tcPr>
          <w:p w14:paraId="05B797A6">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软件版本是否为该机型的正式稳定版本（非测试版等）</w:t>
            </w:r>
          </w:p>
        </w:tc>
      </w:tr>
      <w:tr w14:paraId="0F106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5" w:hRule="atLeast"/>
        </w:trPr>
        <w:tc>
          <w:tcPr>
            <w:tcW w:w="630" w:type="dxa"/>
            <w:vMerge w:val="continue"/>
            <w:tcBorders>
              <w:tl2br w:val="nil"/>
              <w:tr2bl w:val="nil"/>
            </w:tcBorders>
            <w:shd w:val="clear" w:color="auto" w:fill="auto"/>
            <w:tcMar>
              <w:top w:w="15" w:type="dxa"/>
              <w:left w:w="15" w:type="dxa"/>
              <w:right w:w="15" w:type="dxa"/>
            </w:tcMar>
            <w:vAlign w:val="center"/>
          </w:tcPr>
          <w:p w14:paraId="6B9C81C7">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182D2106">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51510D86">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服务器配置参数</w:t>
            </w:r>
          </w:p>
        </w:tc>
        <w:tc>
          <w:tcPr>
            <w:tcW w:w="4815" w:type="dxa"/>
            <w:tcBorders>
              <w:tl2br w:val="nil"/>
              <w:tr2bl w:val="nil"/>
            </w:tcBorders>
            <w:shd w:val="clear" w:color="auto" w:fill="auto"/>
            <w:tcMar>
              <w:top w:w="15" w:type="dxa"/>
              <w:left w:w="15" w:type="dxa"/>
              <w:right w:w="15" w:type="dxa"/>
            </w:tcMar>
            <w:vAlign w:val="center"/>
          </w:tcPr>
          <w:p w14:paraId="060B8FC4">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参数是否存在明显不合理或异常情况。</w:t>
            </w:r>
          </w:p>
        </w:tc>
      </w:tr>
      <w:tr w14:paraId="4B5C0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1B1423AB">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6FF77958">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124A2943">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终端接入情况</w:t>
            </w:r>
          </w:p>
        </w:tc>
        <w:tc>
          <w:tcPr>
            <w:tcW w:w="4815" w:type="dxa"/>
            <w:tcBorders>
              <w:tl2br w:val="nil"/>
              <w:tr2bl w:val="nil"/>
            </w:tcBorders>
            <w:shd w:val="clear" w:color="auto" w:fill="auto"/>
            <w:tcMar>
              <w:top w:w="15" w:type="dxa"/>
              <w:left w:w="15" w:type="dxa"/>
              <w:right w:w="15" w:type="dxa"/>
            </w:tcMar>
            <w:vAlign w:val="center"/>
          </w:tcPr>
          <w:p w14:paraId="264C4FA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终端接入到服务器是否正常、是否存在连接不上或丢包等异常</w:t>
            </w:r>
          </w:p>
        </w:tc>
      </w:tr>
      <w:tr w14:paraId="5A342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502B238D">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587FF57D">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63E2871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核心功能使用</w:t>
            </w:r>
          </w:p>
        </w:tc>
        <w:tc>
          <w:tcPr>
            <w:tcW w:w="4815" w:type="dxa"/>
            <w:tcBorders>
              <w:tl2br w:val="nil"/>
              <w:tr2bl w:val="nil"/>
            </w:tcBorders>
            <w:shd w:val="clear" w:color="auto" w:fill="auto"/>
            <w:tcMar>
              <w:top w:w="15" w:type="dxa"/>
              <w:left w:w="15" w:type="dxa"/>
              <w:right w:w="15" w:type="dxa"/>
            </w:tcMar>
            <w:vAlign w:val="center"/>
          </w:tcPr>
          <w:p w14:paraId="2CB84536">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服务的核心功能是否使用正常（如会议双流、会议录制等）</w:t>
            </w:r>
          </w:p>
        </w:tc>
      </w:tr>
      <w:tr w14:paraId="546AF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630" w:type="dxa"/>
            <w:vMerge w:val="restart"/>
            <w:tcBorders>
              <w:tl2br w:val="nil"/>
              <w:tr2bl w:val="nil"/>
            </w:tcBorders>
            <w:shd w:val="clear" w:color="auto" w:fill="auto"/>
            <w:tcMar>
              <w:top w:w="15" w:type="dxa"/>
              <w:left w:w="15" w:type="dxa"/>
              <w:right w:w="15" w:type="dxa"/>
            </w:tcMar>
            <w:vAlign w:val="center"/>
          </w:tcPr>
          <w:p w14:paraId="6F749F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290" w:type="dxa"/>
            <w:vMerge w:val="restart"/>
            <w:tcBorders>
              <w:tl2br w:val="nil"/>
              <w:tr2bl w:val="nil"/>
            </w:tcBorders>
            <w:shd w:val="clear" w:color="auto" w:fill="auto"/>
            <w:tcMar>
              <w:top w:w="15" w:type="dxa"/>
              <w:left w:w="15" w:type="dxa"/>
              <w:right w:w="15" w:type="dxa"/>
            </w:tcMar>
            <w:vAlign w:val="center"/>
          </w:tcPr>
          <w:p w14:paraId="532597EF">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视频会议配套设备</w:t>
            </w:r>
          </w:p>
        </w:tc>
        <w:tc>
          <w:tcPr>
            <w:tcW w:w="2115" w:type="dxa"/>
            <w:tcBorders>
              <w:tl2br w:val="nil"/>
              <w:tr2bl w:val="nil"/>
            </w:tcBorders>
            <w:shd w:val="clear" w:color="auto" w:fill="auto"/>
            <w:tcMar>
              <w:top w:w="15" w:type="dxa"/>
              <w:left w:w="15" w:type="dxa"/>
              <w:right w:w="15" w:type="dxa"/>
            </w:tcMar>
            <w:vAlign w:val="center"/>
          </w:tcPr>
          <w:p w14:paraId="4560A4C2">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中控设备</w:t>
            </w:r>
          </w:p>
        </w:tc>
        <w:tc>
          <w:tcPr>
            <w:tcW w:w="4815" w:type="dxa"/>
            <w:tcBorders>
              <w:tl2br w:val="nil"/>
              <w:tr2bl w:val="nil"/>
            </w:tcBorders>
            <w:shd w:val="clear" w:color="auto" w:fill="auto"/>
            <w:tcMar>
              <w:top w:w="15" w:type="dxa"/>
              <w:left w:w="15" w:type="dxa"/>
              <w:right w:w="15" w:type="dxa"/>
            </w:tcMar>
            <w:vAlign w:val="center"/>
          </w:tcPr>
          <w:p w14:paraId="47233D5E">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中控设备（如有）是否正常，是否能够正常将音视频切换到会议所需的配置</w:t>
            </w:r>
          </w:p>
        </w:tc>
      </w:tr>
      <w:tr w14:paraId="16124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6E365C3D">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6CEE3840">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755C02B5">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视频设备</w:t>
            </w:r>
          </w:p>
        </w:tc>
        <w:tc>
          <w:tcPr>
            <w:tcW w:w="4815" w:type="dxa"/>
            <w:tcBorders>
              <w:tl2br w:val="nil"/>
              <w:tr2bl w:val="nil"/>
            </w:tcBorders>
            <w:shd w:val="clear" w:color="auto" w:fill="auto"/>
            <w:tcMar>
              <w:top w:w="15" w:type="dxa"/>
              <w:left w:w="15" w:type="dxa"/>
              <w:right w:w="15" w:type="dxa"/>
            </w:tcMar>
            <w:vAlign w:val="center"/>
          </w:tcPr>
          <w:p w14:paraId="771911C2">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显示器是否显示正常，线缆连接是否正常，视频输入源是否配置正常</w:t>
            </w:r>
          </w:p>
        </w:tc>
      </w:tr>
      <w:tr w14:paraId="07A731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7C8E4349">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54E8DAE2">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03B8BB54">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音频设备</w:t>
            </w:r>
          </w:p>
        </w:tc>
        <w:tc>
          <w:tcPr>
            <w:tcW w:w="4815" w:type="dxa"/>
            <w:tcBorders>
              <w:tl2br w:val="nil"/>
              <w:tr2bl w:val="nil"/>
            </w:tcBorders>
            <w:shd w:val="clear" w:color="auto" w:fill="auto"/>
            <w:tcMar>
              <w:top w:w="15" w:type="dxa"/>
              <w:left w:w="15" w:type="dxa"/>
              <w:right w:w="15" w:type="dxa"/>
            </w:tcMar>
            <w:vAlign w:val="center"/>
          </w:tcPr>
          <w:p w14:paraId="1A4A8369">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音箱、麦克风、音频播放器、调音台（如有）等是否运行正常</w:t>
            </w:r>
          </w:p>
        </w:tc>
      </w:tr>
      <w:tr w14:paraId="22E94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restart"/>
            <w:tcBorders>
              <w:tl2br w:val="nil"/>
              <w:tr2bl w:val="nil"/>
            </w:tcBorders>
            <w:shd w:val="clear" w:color="auto" w:fill="auto"/>
            <w:tcMar>
              <w:top w:w="15" w:type="dxa"/>
              <w:left w:w="15" w:type="dxa"/>
              <w:right w:w="15" w:type="dxa"/>
            </w:tcMar>
            <w:vAlign w:val="center"/>
          </w:tcPr>
          <w:p w14:paraId="0E00F3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290" w:type="dxa"/>
            <w:vMerge w:val="restart"/>
            <w:tcBorders>
              <w:tl2br w:val="nil"/>
              <w:tr2bl w:val="nil"/>
            </w:tcBorders>
            <w:shd w:val="clear" w:color="auto" w:fill="auto"/>
            <w:tcMar>
              <w:top w:w="15" w:type="dxa"/>
              <w:left w:w="15" w:type="dxa"/>
              <w:right w:w="15" w:type="dxa"/>
            </w:tcMar>
            <w:vAlign w:val="center"/>
          </w:tcPr>
          <w:p w14:paraId="7072837F">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服务器</w:t>
            </w:r>
          </w:p>
        </w:tc>
        <w:tc>
          <w:tcPr>
            <w:tcW w:w="2115" w:type="dxa"/>
            <w:tcBorders>
              <w:tl2br w:val="nil"/>
              <w:tr2bl w:val="nil"/>
            </w:tcBorders>
            <w:shd w:val="clear" w:color="auto" w:fill="auto"/>
            <w:tcMar>
              <w:top w:w="15" w:type="dxa"/>
              <w:left w:w="15" w:type="dxa"/>
              <w:right w:w="15" w:type="dxa"/>
            </w:tcMar>
            <w:vAlign w:val="center"/>
          </w:tcPr>
          <w:p w14:paraId="2715CB6E">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外观指示灯检查</w:t>
            </w:r>
          </w:p>
        </w:tc>
        <w:tc>
          <w:tcPr>
            <w:tcW w:w="4815" w:type="dxa"/>
            <w:tcBorders>
              <w:tl2br w:val="nil"/>
              <w:tr2bl w:val="nil"/>
            </w:tcBorders>
            <w:shd w:val="clear" w:color="auto" w:fill="auto"/>
            <w:tcMar>
              <w:top w:w="15" w:type="dxa"/>
              <w:left w:w="15" w:type="dxa"/>
              <w:right w:w="15" w:type="dxa"/>
            </w:tcMar>
            <w:vAlign w:val="center"/>
          </w:tcPr>
          <w:p w14:paraId="65697BE6">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硬盘、风扇模块、电源模块的指示灯是否正常</w:t>
            </w:r>
          </w:p>
        </w:tc>
      </w:tr>
      <w:tr w14:paraId="32599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trPr>
        <w:tc>
          <w:tcPr>
            <w:tcW w:w="630" w:type="dxa"/>
            <w:vMerge w:val="continue"/>
            <w:tcBorders>
              <w:tl2br w:val="nil"/>
              <w:tr2bl w:val="nil"/>
            </w:tcBorders>
            <w:shd w:val="clear" w:color="auto" w:fill="auto"/>
            <w:tcMar>
              <w:top w:w="15" w:type="dxa"/>
              <w:left w:w="15" w:type="dxa"/>
              <w:right w:w="15" w:type="dxa"/>
            </w:tcMar>
            <w:vAlign w:val="center"/>
          </w:tcPr>
          <w:p w14:paraId="1E1980BE">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1FECDFCE">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570D1EDF">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网络状态</w:t>
            </w:r>
          </w:p>
        </w:tc>
        <w:tc>
          <w:tcPr>
            <w:tcW w:w="4815" w:type="dxa"/>
            <w:tcBorders>
              <w:tl2br w:val="nil"/>
              <w:tr2bl w:val="nil"/>
            </w:tcBorders>
            <w:shd w:val="clear" w:color="auto" w:fill="auto"/>
            <w:tcMar>
              <w:top w:w="15" w:type="dxa"/>
              <w:left w:w="15" w:type="dxa"/>
              <w:right w:w="15" w:type="dxa"/>
            </w:tcMar>
            <w:vAlign w:val="center"/>
          </w:tcPr>
          <w:p w14:paraId="5AFB23FF">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查看网卡物理状态和系统中显示的状态是否正常，与网关及公共服务器的网络联通是否正常。</w:t>
            </w:r>
          </w:p>
        </w:tc>
      </w:tr>
      <w:tr w14:paraId="73251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190916B8">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7FDECF18">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5000278B">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系统安全防护</w:t>
            </w:r>
          </w:p>
        </w:tc>
        <w:tc>
          <w:tcPr>
            <w:tcW w:w="4815" w:type="dxa"/>
            <w:tcBorders>
              <w:tl2br w:val="nil"/>
              <w:tr2bl w:val="nil"/>
            </w:tcBorders>
            <w:shd w:val="clear" w:color="auto" w:fill="auto"/>
            <w:tcMar>
              <w:top w:w="15" w:type="dxa"/>
              <w:left w:w="15" w:type="dxa"/>
              <w:right w:w="15" w:type="dxa"/>
            </w:tcMar>
            <w:vAlign w:val="center"/>
          </w:tcPr>
          <w:p w14:paraId="6512ECA2">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查看系统补丁、防病毒软件安装情况</w:t>
            </w:r>
          </w:p>
        </w:tc>
      </w:tr>
      <w:tr w14:paraId="60091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4B9ECE31">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5C243C2D">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09A183DE">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主机负载情况</w:t>
            </w:r>
          </w:p>
        </w:tc>
        <w:tc>
          <w:tcPr>
            <w:tcW w:w="4815" w:type="dxa"/>
            <w:tcBorders>
              <w:tl2br w:val="nil"/>
              <w:tr2bl w:val="nil"/>
            </w:tcBorders>
            <w:shd w:val="clear" w:color="auto" w:fill="auto"/>
            <w:tcMar>
              <w:top w:w="15" w:type="dxa"/>
              <w:left w:w="15" w:type="dxa"/>
              <w:right w:w="15" w:type="dxa"/>
            </w:tcMar>
            <w:vAlign w:val="center"/>
          </w:tcPr>
          <w:p w14:paraId="78EF9562">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CPU 负载情况、内存使用情况、主要负载进程</w:t>
            </w:r>
          </w:p>
        </w:tc>
      </w:tr>
      <w:tr w14:paraId="0CF68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5280D059">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38B5ACF4">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0BBCA93A">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部署应用系统情况</w:t>
            </w:r>
          </w:p>
        </w:tc>
        <w:tc>
          <w:tcPr>
            <w:tcW w:w="4815" w:type="dxa"/>
            <w:tcBorders>
              <w:tl2br w:val="nil"/>
              <w:tr2bl w:val="nil"/>
            </w:tcBorders>
            <w:shd w:val="clear" w:color="auto" w:fill="auto"/>
            <w:tcMar>
              <w:top w:w="15" w:type="dxa"/>
              <w:left w:w="15" w:type="dxa"/>
              <w:right w:w="15" w:type="dxa"/>
            </w:tcMar>
            <w:vAlign w:val="center"/>
          </w:tcPr>
          <w:p w14:paraId="0040A730">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部署的应用系统功能检查，是否正常运行</w:t>
            </w:r>
          </w:p>
        </w:tc>
      </w:tr>
      <w:tr w14:paraId="578DE8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516DC9DC">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4A0B1E71">
            <w:pPr>
              <w:jc w:val="both"/>
              <w:rPr>
                <w:rFonts w:hint="eastAsia" w:ascii="宋体" w:hAnsi="宋体" w:eastAsia="宋体" w:cs="宋体"/>
                <w:i w:val="0"/>
                <w:color w:val="000000"/>
                <w:sz w:val="24"/>
                <w:szCs w:val="24"/>
                <w:u w:val="none"/>
              </w:rPr>
            </w:pPr>
          </w:p>
        </w:tc>
        <w:tc>
          <w:tcPr>
            <w:tcW w:w="2115" w:type="dxa"/>
            <w:vMerge w:val="restart"/>
            <w:tcBorders>
              <w:tl2br w:val="nil"/>
              <w:tr2bl w:val="nil"/>
            </w:tcBorders>
            <w:shd w:val="clear" w:color="auto" w:fill="auto"/>
            <w:tcMar>
              <w:top w:w="15" w:type="dxa"/>
              <w:left w:w="15" w:type="dxa"/>
              <w:right w:w="15" w:type="dxa"/>
            </w:tcMar>
            <w:vAlign w:val="center"/>
          </w:tcPr>
          <w:p w14:paraId="1033163C">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存储情况</w:t>
            </w:r>
          </w:p>
        </w:tc>
        <w:tc>
          <w:tcPr>
            <w:tcW w:w="4815" w:type="dxa"/>
            <w:tcBorders>
              <w:tl2br w:val="nil"/>
              <w:tr2bl w:val="nil"/>
            </w:tcBorders>
            <w:shd w:val="clear" w:color="auto" w:fill="auto"/>
            <w:tcMar>
              <w:top w:w="15" w:type="dxa"/>
              <w:left w:w="15" w:type="dxa"/>
              <w:right w:w="15" w:type="dxa"/>
            </w:tcMar>
            <w:vAlign w:val="center"/>
          </w:tcPr>
          <w:p w14:paraId="091647CF">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根据业务类型和容错需求判断RAID 级别是否适合（可选）</w:t>
            </w:r>
          </w:p>
        </w:tc>
      </w:tr>
      <w:tr w14:paraId="616950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7ABCCFB7">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2F4EB153">
            <w:pPr>
              <w:jc w:val="both"/>
              <w:rPr>
                <w:rFonts w:hint="eastAsia" w:ascii="宋体" w:hAnsi="宋体" w:eastAsia="宋体" w:cs="宋体"/>
                <w:i w:val="0"/>
                <w:color w:val="000000"/>
                <w:sz w:val="24"/>
                <w:szCs w:val="24"/>
                <w:u w:val="none"/>
              </w:rPr>
            </w:pPr>
          </w:p>
        </w:tc>
        <w:tc>
          <w:tcPr>
            <w:tcW w:w="2115" w:type="dxa"/>
            <w:vMerge w:val="continue"/>
            <w:tcBorders>
              <w:tl2br w:val="nil"/>
              <w:tr2bl w:val="nil"/>
            </w:tcBorders>
            <w:shd w:val="clear" w:color="auto" w:fill="auto"/>
            <w:tcMar>
              <w:top w:w="15" w:type="dxa"/>
              <w:left w:w="15" w:type="dxa"/>
              <w:right w:w="15" w:type="dxa"/>
            </w:tcMar>
            <w:vAlign w:val="center"/>
          </w:tcPr>
          <w:p w14:paraId="125EB2AD">
            <w:pPr>
              <w:jc w:val="both"/>
              <w:rPr>
                <w:rFonts w:hint="eastAsia" w:ascii="宋体" w:hAnsi="宋体" w:eastAsia="宋体" w:cs="宋体"/>
                <w:i w:val="0"/>
                <w:color w:val="000000"/>
                <w:sz w:val="24"/>
                <w:szCs w:val="24"/>
                <w:u w:val="none"/>
              </w:rPr>
            </w:pPr>
          </w:p>
        </w:tc>
        <w:tc>
          <w:tcPr>
            <w:tcW w:w="4815" w:type="dxa"/>
            <w:tcBorders>
              <w:tl2br w:val="nil"/>
              <w:tr2bl w:val="nil"/>
            </w:tcBorders>
            <w:shd w:val="clear" w:color="auto" w:fill="auto"/>
            <w:tcMar>
              <w:top w:w="15" w:type="dxa"/>
              <w:left w:w="15" w:type="dxa"/>
              <w:right w:w="15" w:type="dxa"/>
            </w:tcMar>
            <w:vAlign w:val="center"/>
          </w:tcPr>
          <w:p w14:paraId="709B04BB">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分区空间使用率状况：是否存在即将写满的分区</w:t>
            </w:r>
          </w:p>
        </w:tc>
      </w:tr>
      <w:tr w14:paraId="432F8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630" w:type="dxa"/>
            <w:vMerge w:val="continue"/>
            <w:tcBorders>
              <w:tl2br w:val="nil"/>
              <w:tr2bl w:val="nil"/>
            </w:tcBorders>
            <w:shd w:val="clear" w:color="auto" w:fill="auto"/>
            <w:tcMar>
              <w:top w:w="15" w:type="dxa"/>
              <w:left w:w="15" w:type="dxa"/>
              <w:right w:w="15" w:type="dxa"/>
            </w:tcMar>
            <w:vAlign w:val="center"/>
          </w:tcPr>
          <w:p w14:paraId="72473B2B">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36F2090A">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6695CB35">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查看日志</w:t>
            </w:r>
          </w:p>
        </w:tc>
        <w:tc>
          <w:tcPr>
            <w:tcW w:w="4815" w:type="dxa"/>
            <w:tcBorders>
              <w:tl2br w:val="nil"/>
              <w:tr2bl w:val="nil"/>
            </w:tcBorders>
            <w:shd w:val="clear" w:color="auto" w:fill="auto"/>
            <w:tcMar>
              <w:top w:w="15" w:type="dxa"/>
              <w:left w:w="15" w:type="dxa"/>
              <w:right w:w="15" w:type="dxa"/>
            </w:tcMar>
            <w:vAlign w:val="center"/>
          </w:tcPr>
          <w:p w14:paraId="34DF9A09">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查看系统日志是否有异常。</w:t>
            </w:r>
          </w:p>
        </w:tc>
      </w:tr>
      <w:tr w14:paraId="5C130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restart"/>
            <w:tcBorders>
              <w:tl2br w:val="nil"/>
              <w:tr2bl w:val="nil"/>
            </w:tcBorders>
            <w:shd w:val="clear" w:color="auto" w:fill="auto"/>
            <w:tcMar>
              <w:top w:w="15" w:type="dxa"/>
              <w:left w:w="15" w:type="dxa"/>
              <w:right w:w="15" w:type="dxa"/>
            </w:tcMar>
            <w:vAlign w:val="center"/>
          </w:tcPr>
          <w:p w14:paraId="3CE4B3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290" w:type="dxa"/>
            <w:vMerge w:val="restart"/>
            <w:tcBorders>
              <w:tl2br w:val="nil"/>
              <w:tr2bl w:val="nil"/>
            </w:tcBorders>
            <w:shd w:val="clear" w:color="auto" w:fill="auto"/>
            <w:tcMar>
              <w:top w:w="15" w:type="dxa"/>
              <w:left w:w="15" w:type="dxa"/>
              <w:right w:w="15" w:type="dxa"/>
            </w:tcMar>
            <w:vAlign w:val="center"/>
          </w:tcPr>
          <w:p w14:paraId="7DC13A1C">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存储设备</w:t>
            </w:r>
          </w:p>
        </w:tc>
        <w:tc>
          <w:tcPr>
            <w:tcW w:w="2115" w:type="dxa"/>
            <w:vMerge w:val="restart"/>
            <w:tcBorders>
              <w:tl2br w:val="nil"/>
              <w:tr2bl w:val="nil"/>
            </w:tcBorders>
            <w:shd w:val="clear" w:color="auto" w:fill="auto"/>
            <w:tcMar>
              <w:top w:w="15" w:type="dxa"/>
              <w:left w:w="15" w:type="dxa"/>
              <w:right w:w="15" w:type="dxa"/>
            </w:tcMar>
            <w:vAlign w:val="center"/>
          </w:tcPr>
          <w:p w14:paraId="12550C2C">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外观指示灯检查</w:t>
            </w:r>
          </w:p>
        </w:tc>
        <w:tc>
          <w:tcPr>
            <w:tcW w:w="4815" w:type="dxa"/>
            <w:tcBorders>
              <w:tl2br w:val="nil"/>
              <w:tr2bl w:val="nil"/>
            </w:tcBorders>
            <w:shd w:val="clear" w:color="auto" w:fill="auto"/>
            <w:tcMar>
              <w:top w:w="15" w:type="dxa"/>
              <w:left w:w="15" w:type="dxa"/>
              <w:right w:w="15" w:type="dxa"/>
            </w:tcMar>
            <w:vAlign w:val="center"/>
          </w:tcPr>
          <w:p w14:paraId="4B344E00">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检查主柜、扩展柜和硬盘的状态灯、</w:t>
            </w:r>
          </w:p>
        </w:tc>
      </w:tr>
      <w:tr w14:paraId="6232C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32EF9C72">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41F4C3C8">
            <w:pPr>
              <w:jc w:val="both"/>
              <w:rPr>
                <w:rFonts w:hint="eastAsia" w:ascii="宋体" w:hAnsi="宋体" w:eastAsia="宋体" w:cs="宋体"/>
                <w:i w:val="0"/>
                <w:color w:val="000000"/>
                <w:sz w:val="24"/>
                <w:szCs w:val="24"/>
                <w:u w:val="none"/>
              </w:rPr>
            </w:pPr>
          </w:p>
        </w:tc>
        <w:tc>
          <w:tcPr>
            <w:tcW w:w="2115" w:type="dxa"/>
            <w:vMerge w:val="continue"/>
            <w:tcBorders>
              <w:tl2br w:val="nil"/>
              <w:tr2bl w:val="nil"/>
            </w:tcBorders>
            <w:shd w:val="clear" w:color="auto" w:fill="auto"/>
            <w:tcMar>
              <w:top w:w="15" w:type="dxa"/>
              <w:left w:w="15" w:type="dxa"/>
              <w:right w:w="15" w:type="dxa"/>
            </w:tcMar>
            <w:vAlign w:val="center"/>
          </w:tcPr>
          <w:p w14:paraId="4E5ED8E2">
            <w:pPr>
              <w:jc w:val="both"/>
              <w:rPr>
                <w:rFonts w:hint="eastAsia" w:ascii="宋体" w:hAnsi="宋体" w:eastAsia="宋体" w:cs="宋体"/>
                <w:i w:val="0"/>
                <w:color w:val="000000"/>
                <w:sz w:val="24"/>
                <w:szCs w:val="24"/>
                <w:u w:val="none"/>
              </w:rPr>
            </w:pPr>
          </w:p>
        </w:tc>
        <w:tc>
          <w:tcPr>
            <w:tcW w:w="4815" w:type="dxa"/>
            <w:tcBorders>
              <w:tl2br w:val="nil"/>
              <w:tr2bl w:val="nil"/>
            </w:tcBorders>
            <w:shd w:val="clear" w:color="auto" w:fill="auto"/>
            <w:tcMar>
              <w:top w:w="15" w:type="dxa"/>
              <w:left w:w="15" w:type="dxa"/>
              <w:right w:w="15" w:type="dxa"/>
            </w:tcMar>
            <w:vAlign w:val="center"/>
          </w:tcPr>
          <w:p w14:paraId="539219DD">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检查存储控制器、主柜与扩展柜链路连接、光纤子卡线缆的状态灯</w:t>
            </w:r>
          </w:p>
        </w:tc>
      </w:tr>
      <w:tr w14:paraId="13F9C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trPr>
        <w:tc>
          <w:tcPr>
            <w:tcW w:w="630" w:type="dxa"/>
            <w:vMerge w:val="continue"/>
            <w:tcBorders>
              <w:tl2br w:val="nil"/>
              <w:tr2bl w:val="nil"/>
            </w:tcBorders>
            <w:shd w:val="clear" w:color="auto" w:fill="auto"/>
            <w:tcMar>
              <w:top w:w="15" w:type="dxa"/>
              <w:left w:w="15" w:type="dxa"/>
              <w:right w:w="15" w:type="dxa"/>
            </w:tcMar>
            <w:vAlign w:val="center"/>
          </w:tcPr>
          <w:p w14:paraId="500AC27B">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4154C673">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6C511C45">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设备管理状态</w:t>
            </w:r>
          </w:p>
        </w:tc>
        <w:tc>
          <w:tcPr>
            <w:tcW w:w="4815" w:type="dxa"/>
            <w:tcBorders>
              <w:tl2br w:val="nil"/>
              <w:tr2bl w:val="nil"/>
            </w:tcBorders>
            <w:shd w:val="clear" w:color="auto" w:fill="auto"/>
            <w:tcMar>
              <w:top w:w="15" w:type="dxa"/>
              <w:left w:w="15" w:type="dxa"/>
              <w:right w:w="15" w:type="dxa"/>
            </w:tcMar>
            <w:vAlign w:val="center"/>
          </w:tcPr>
          <w:p w14:paraId="5B4BF6F7">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设备管理口是否能够正常连接，登入设备管理界面后检查设备状态，是否可以正常管理</w:t>
            </w:r>
          </w:p>
        </w:tc>
      </w:tr>
      <w:tr w14:paraId="0E5CE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continue"/>
            <w:tcBorders>
              <w:tl2br w:val="nil"/>
              <w:tr2bl w:val="nil"/>
            </w:tcBorders>
            <w:shd w:val="clear" w:color="auto" w:fill="auto"/>
            <w:tcMar>
              <w:top w:w="15" w:type="dxa"/>
              <w:left w:w="15" w:type="dxa"/>
              <w:right w:w="15" w:type="dxa"/>
            </w:tcMar>
            <w:vAlign w:val="center"/>
          </w:tcPr>
          <w:p w14:paraId="27E1900F">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2E947B9E">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40D934E6">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查询设备状态</w:t>
            </w:r>
          </w:p>
        </w:tc>
        <w:tc>
          <w:tcPr>
            <w:tcW w:w="4815" w:type="dxa"/>
            <w:tcBorders>
              <w:tl2br w:val="nil"/>
              <w:tr2bl w:val="nil"/>
            </w:tcBorders>
            <w:shd w:val="clear" w:color="auto" w:fill="auto"/>
            <w:tcMar>
              <w:top w:w="15" w:type="dxa"/>
              <w:left w:w="15" w:type="dxa"/>
              <w:right w:w="15" w:type="dxa"/>
            </w:tcMar>
            <w:vAlign w:val="center"/>
          </w:tcPr>
          <w:p w14:paraId="5A86D520">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控制器状态、控制器电池状态、存储池状态、主机状态等</w:t>
            </w:r>
          </w:p>
        </w:tc>
      </w:tr>
      <w:tr w14:paraId="3115B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630" w:type="dxa"/>
            <w:vMerge w:val="continue"/>
            <w:tcBorders>
              <w:tl2br w:val="nil"/>
              <w:tr2bl w:val="nil"/>
            </w:tcBorders>
            <w:shd w:val="clear" w:color="auto" w:fill="auto"/>
            <w:tcMar>
              <w:top w:w="15" w:type="dxa"/>
              <w:left w:w="15" w:type="dxa"/>
              <w:right w:w="15" w:type="dxa"/>
            </w:tcMar>
            <w:vAlign w:val="center"/>
          </w:tcPr>
          <w:p w14:paraId="00D22F69">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766ECD6B">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1221193B">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查看日志</w:t>
            </w:r>
          </w:p>
        </w:tc>
        <w:tc>
          <w:tcPr>
            <w:tcW w:w="4815" w:type="dxa"/>
            <w:tcBorders>
              <w:tl2br w:val="nil"/>
              <w:tr2bl w:val="nil"/>
            </w:tcBorders>
            <w:shd w:val="clear" w:color="auto" w:fill="auto"/>
            <w:tcMar>
              <w:top w:w="15" w:type="dxa"/>
              <w:left w:w="15" w:type="dxa"/>
              <w:right w:w="15" w:type="dxa"/>
            </w:tcMar>
            <w:vAlign w:val="center"/>
          </w:tcPr>
          <w:p w14:paraId="5AEECBAC">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确认事件以及告警信息。</w:t>
            </w:r>
          </w:p>
        </w:tc>
      </w:tr>
      <w:tr w14:paraId="4A6B8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30" w:type="dxa"/>
            <w:vMerge w:val="restart"/>
            <w:tcBorders>
              <w:tl2br w:val="nil"/>
              <w:tr2bl w:val="nil"/>
            </w:tcBorders>
            <w:shd w:val="clear" w:color="auto" w:fill="auto"/>
            <w:tcMar>
              <w:top w:w="15" w:type="dxa"/>
              <w:left w:w="15" w:type="dxa"/>
              <w:right w:w="15" w:type="dxa"/>
            </w:tcMar>
            <w:vAlign w:val="center"/>
          </w:tcPr>
          <w:p w14:paraId="19BACA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290" w:type="dxa"/>
            <w:vMerge w:val="restart"/>
            <w:tcBorders>
              <w:tl2br w:val="nil"/>
              <w:tr2bl w:val="nil"/>
            </w:tcBorders>
            <w:shd w:val="clear" w:color="auto" w:fill="auto"/>
            <w:tcMar>
              <w:top w:w="15" w:type="dxa"/>
              <w:left w:w="15" w:type="dxa"/>
              <w:right w:w="15" w:type="dxa"/>
            </w:tcMar>
            <w:vAlign w:val="center"/>
          </w:tcPr>
          <w:p w14:paraId="0DB975AB">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光纤交换机</w:t>
            </w:r>
          </w:p>
        </w:tc>
        <w:tc>
          <w:tcPr>
            <w:tcW w:w="2115" w:type="dxa"/>
            <w:tcBorders>
              <w:tl2br w:val="nil"/>
              <w:tr2bl w:val="nil"/>
            </w:tcBorders>
            <w:shd w:val="clear" w:color="auto" w:fill="auto"/>
            <w:tcMar>
              <w:top w:w="15" w:type="dxa"/>
              <w:left w:w="15" w:type="dxa"/>
              <w:right w:w="15" w:type="dxa"/>
            </w:tcMar>
            <w:vAlign w:val="center"/>
          </w:tcPr>
          <w:p w14:paraId="2249AB05">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外观指示灯检查</w:t>
            </w:r>
          </w:p>
        </w:tc>
        <w:tc>
          <w:tcPr>
            <w:tcW w:w="4815" w:type="dxa"/>
            <w:tcBorders>
              <w:tl2br w:val="nil"/>
              <w:tr2bl w:val="nil"/>
            </w:tcBorders>
            <w:shd w:val="clear" w:color="auto" w:fill="auto"/>
            <w:tcMar>
              <w:top w:w="15" w:type="dxa"/>
              <w:left w:w="15" w:type="dxa"/>
              <w:right w:w="15" w:type="dxa"/>
            </w:tcMar>
            <w:vAlign w:val="center"/>
          </w:tcPr>
          <w:p w14:paraId="08CB0803">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检查光纤交换机和光模块的状态灯。</w:t>
            </w:r>
          </w:p>
        </w:tc>
      </w:tr>
      <w:tr w14:paraId="3B9E9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trPr>
        <w:tc>
          <w:tcPr>
            <w:tcW w:w="630" w:type="dxa"/>
            <w:vMerge w:val="continue"/>
            <w:tcBorders>
              <w:tl2br w:val="nil"/>
              <w:tr2bl w:val="nil"/>
            </w:tcBorders>
            <w:shd w:val="clear" w:color="auto" w:fill="auto"/>
            <w:tcMar>
              <w:top w:w="15" w:type="dxa"/>
              <w:left w:w="15" w:type="dxa"/>
              <w:right w:w="15" w:type="dxa"/>
            </w:tcMar>
            <w:vAlign w:val="center"/>
          </w:tcPr>
          <w:p w14:paraId="69EF95E6">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5817A702">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4DFC86ED">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设备管理状态</w:t>
            </w:r>
          </w:p>
        </w:tc>
        <w:tc>
          <w:tcPr>
            <w:tcW w:w="4815" w:type="dxa"/>
            <w:tcBorders>
              <w:tl2br w:val="nil"/>
              <w:tr2bl w:val="nil"/>
            </w:tcBorders>
            <w:shd w:val="clear" w:color="auto" w:fill="auto"/>
            <w:tcMar>
              <w:top w:w="15" w:type="dxa"/>
              <w:left w:w="15" w:type="dxa"/>
              <w:right w:w="15" w:type="dxa"/>
            </w:tcMar>
            <w:vAlign w:val="center"/>
          </w:tcPr>
          <w:p w14:paraId="2DDA0B33">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设备管理口是否能够正常连接，登入设备管理界面后检查设备状态，是否可以正常管理</w:t>
            </w:r>
          </w:p>
        </w:tc>
      </w:tr>
      <w:tr w14:paraId="0B259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trPr>
        <w:tc>
          <w:tcPr>
            <w:tcW w:w="630" w:type="dxa"/>
            <w:vMerge w:val="continue"/>
            <w:tcBorders>
              <w:tl2br w:val="nil"/>
              <w:tr2bl w:val="nil"/>
            </w:tcBorders>
            <w:shd w:val="clear" w:color="auto" w:fill="auto"/>
            <w:tcMar>
              <w:top w:w="15" w:type="dxa"/>
              <w:left w:w="15" w:type="dxa"/>
              <w:right w:w="15" w:type="dxa"/>
            </w:tcMar>
            <w:vAlign w:val="center"/>
          </w:tcPr>
          <w:p w14:paraId="111CB73B">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450A13CE">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401DF8F0">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查询设备状态</w:t>
            </w:r>
          </w:p>
        </w:tc>
        <w:tc>
          <w:tcPr>
            <w:tcW w:w="4815" w:type="dxa"/>
            <w:tcBorders>
              <w:tl2br w:val="nil"/>
              <w:tr2bl w:val="nil"/>
            </w:tcBorders>
            <w:shd w:val="clear" w:color="auto" w:fill="auto"/>
            <w:tcMar>
              <w:top w:w="15" w:type="dxa"/>
              <w:left w:w="15" w:type="dxa"/>
              <w:right w:w="15" w:type="dxa"/>
            </w:tcMar>
            <w:vAlign w:val="center"/>
          </w:tcPr>
          <w:p w14:paraId="2846E40E">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查看各硬件状态、端口连接状态、端口激活状态、ZONE状态等，是否正常</w:t>
            </w:r>
          </w:p>
        </w:tc>
      </w:tr>
      <w:tr w14:paraId="3F3D06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630" w:type="dxa"/>
            <w:vMerge w:val="continue"/>
            <w:tcBorders>
              <w:tl2br w:val="nil"/>
              <w:tr2bl w:val="nil"/>
            </w:tcBorders>
            <w:shd w:val="clear" w:color="auto" w:fill="auto"/>
            <w:tcMar>
              <w:top w:w="15" w:type="dxa"/>
              <w:left w:w="15" w:type="dxa"/>
              <w:right w:w="15" w:type="dxa"/>
            </w:tcMar>
            <w:vAlign w:val="center"/>
          </w:tcPr>
          <w:p w14:paraId="247EF29E">
            <w:pPr>
              <w:jc w:val="center"/>
              <w:rPr>
                <w:rFonts w:hint="eastAsia" w:ascii="宋体" w:hAnsi="宋体" w:eastAsia="宋体" w:cs="宋体"/>
                <w:i w:val="0"/>
                <w:color w:val="000000"/>
                <w:sz w:val="24"/>
                <w:szCs w:val="24"/>
                <w:u w:val="none"/>
              </w:rPr>
            </w:pPr>
          </w:p>
        </w:tc>
        <w:tc>
          <w:tcPr>
            <w:tcW w:w="1290" w:type="dxa"/>
            <w:vMerge w:val="continue"/>
            <w:tcBorders>
              <w:tl2br w:val="nil"/>
              <w:tr2bl w:val="nil"/>
            </w:tcBorders>
            <w:shd w:val="clear" w:color="auto" w:fill="auto"/>
            <w:tcMar>
              <w:top w:w="15" w:type="dxa"/>
              <w:left w:w="15" w:type="dxa"/>
              <w:right w:w="15" w:type="dxa"/>
            </w:tcMar>
            <w:vAlign w:val="center"/>
          </w:tcPr>
          <w:p w14:paraId="04DB0B40">
            <w:pPr>
              <w:jc w:val="both"/>
              <w:rPr>
                <w:rFonts w:hint="eastAsia" w:ascii="宋体" w:hAnsi="宋体" w:eastAsia="宋体" w:cs="宋体"/>
                <w:i w:val="0"/>
                <w:color w:val="000000"/>
                <w:sz w:val="24"/>
                <w:szCs w:val="24"/>
                <w:u w:val="none"/>
              </w:rPr>
            </w:pPr>
          </w:p>
        </w:tc>
        <w:tc>
          <w:tcPr>
            <w:tcW w:w="2115" w:type="dxa"/>
            <w:tcBorders>
              <w:tl2br w:val="nil"/>
              <w:tr2bl w:val="nil"/>
            </w:tcBorders>
            <w:shd w:val="clear" w:color="auto" w:fill="auto"/>
            <w:tcMar>
              <w:top w:w="15" w:type="dxa"/>
              <w:left w:w="15" w:type="dxa"/>
              <w:right w:w="15" w:type="dxa"/>
            </w:tcMar>
            <w:vAlign w:val="center"/>
          </w:tcPr>
          <w:p w14:paraId="1A0ECD64">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查看日志</w:t>
            </w:r>
          </w:p>
        </w:tc>
        <w:tc>
          <w:tcPr>
            <w:tcW w:w="4815" w:type="dxa"/>
            <w:tcBorders>
              <w:tl2br w:val="nil"/>
              <w:tr2bl w:val="nil"/>
            </w:tcBorders>
            <w:shd w:val="clear" w:color="auto" w:fill="auto"/>
            <w:tcMar>
              <w:top w:w="15" w:type="dxa"/>
              <w:left w:w="15" w:type="dxa"/>
              <w:right w:w="15" w:type="dxa"/>
            </w:tcMar>
            <w:vAlign w:val="center"/>
          </w:tcPr>
          <w:p w14:paraId="7B73F5F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查看设备日志内是否有报错信息</w:t>
            </w:r>
          </w:p>
        </w:tc>
      </w:tr>
    </w:tbl>
    <w:p w14:paraId="56DD4856">
      <w:pPr>
        <w:numPr>
          <w:ilvl w:val="0"/>
          <w:numId w:val="0"/>
        </w:numPr>
        <w:ind w:leftChars="0"/>
        <w:rPr>
          <w:rFonts w:hint="default" w:ascii="仿宋_GB2312" w:hAnsi="宋体" w:eastAsia="仿宋_GB2312"/>
          <w:sz w:val="32"/>
          <w:lang w:val="en-US" w:eastAsia="zh-CN"/>
        </w:rPr>
      </w:pPr>
      <w:r>
        <w:rPr>
          <w:rFonts w:hint="eastAsia" w:ascii="仿宋_GB2312" w:hAnsi="宋体" w:eastAsia="仿宋_GB2312"/>
          <w:sz w:val="32"/>
          <w:lang w:eastAsia="zh-CN"/>
        </w:rPr>
        <w:t>（</w:t>
      </w:r>
      <w:r>
        <w:rPr>
          <w:rFonts w:hint="eastAsia" w:ascii="仿宋_GB2312" w:hAnsi="宋体" w:eastAsia="仿宋_GB2312"/>
          <w:sz w:val="32"/>
          <w:lang w:val="en-US" w:eastAsia="zh-CN"/>
        </w:rPr>
        <w:t>5</w:t>
      </w:r>
      <w:r>
        <w:rPr>
          <w:rFonts w:hint="eastAsia" w:ascii="仿宋_GB2312" w:hAnsi="宋体" w:eastAsia="仿宋_GB2312"/>
          <w:sz w:val="32"/>
          <w:lang w:eastAsia="zh-CN"/>
        </w:rPr>
        <w:t>）便携式监测设备</w:t>
      </w:r>
    </w:p>
    <w:p w14:paraId="016DA96C">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现场巡检内容具体如下（巡检内容应根据国家和省有关监测设施巡检规范和要求实时更新调整）：</w:t>
      </w:r>
    </w:p>
    <w:tbl>
      <w:tblPr>
        <w:tblStyle w:val="6"/>
        <w:tblW w:w="871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48"/>
        <w:gridCol w:w="1575"/>
        <w:gridCol w:w="1881"/>
        <w:gridCol w:w="4506"/>
      </w:tblGrid>
      <w:tr w14:paraId="66ACE8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tcBorders>
              <w:top w:val="single" w:color="000000" w:sz="12" w:space="0"/>
            </w:tcBorders>
            <w:noWrap/>
            <w:vAlign w:val="center"/>
          </w:tcPr>
          <w:p w14:paraId="669F9642">
            <w:pPr>
              <w:pStyle w:val="5"/>
              <w:spacing w:line="360" w:lineRule="auto"/>
              <w:rPr>
                <w:rFonts w:ascii="宋体" w:cs="宋体"/>
                <w:szCs w:val="24"/>
              </w:rPr>
            </w:pPr>
            <w:r>
              <w:rPr>
                <w:rFonts w:hint="eastAsia" w:ascii="宋体" w:hAnsi="宋体" w:cs="宋体"/>
                <w:szCs w:val="24"/>
              </w:rPr>
              <w:t>序号</w:t>
            </w:r>
          </w:p>
        </w:tc>
        <w:tc>
          <w:tcPr>
            <w:tcW w:w="1575" w:type="dxa"/>
            <w:tcBorders>
              <w:top w:val="single" w:color="000000" w:sz="12" w:space="0"/>
            </w:tcBorders>
            <w:noWrap/>
            <w:vAlign w:val="center"/>
          </w:tcPr>
          <w:p w14:paraId="3A392326">
            <w:pPr>
              <w:pStyle w:val="5"/>
              <w:spacing w:line="360" w:lineRule="auto"/>
              <w:rPr>
                <w:rFonts w:ascii="宋体" w:cs="宋体"/>
                <w:szCs w:val="24"/>
              </w:rPr>
            </w:pPr>
            <w:r>
              <w:rPr>
                <w:rFonts w:hint="eastAsia" w:ascii="宋体" w:hAnsi="宋体" w:cs="宋体"/>
                <w:szCs w:val="24"/>
              </w:rPr>
              <w:t>巡检设备</w:t>
            </w:r>
          </w:p>
        </w:tc>
        <w:tc>
          <w:tcPr>
            <w:tcW w:w="1881" w:type="dxa"/>
            <w:tcBorders>
              <w:top w:val="single" w:color="000000" w:sz="12" w:space="0"/>
            </w:tcBorders>
            <w:noWrap/>
            <w:vAlign w:val="center"/>
          </w:tcPr>
          <w:p w14:paraId="001CF4FB">
            <w:pPr>
              <w:pStyle w:val="5"/>
              <w:spacing w:line="360" w:lineRule="auto"/>
              <w:rPr>
                <w:rFonts w:ascii="宋体" w:cs="宋体"/>
                <w:szCs w:val="24"/>
              </w:rPr>
            </w:pPr>
            <w:r>
              <w:rPr>
                <w:rFonts w:hint="eastAsia" w:ascii="宋体" w:hAnsi="宋体" w:cs="宋体"/>
                <w:szCs w:val="24"/>
              </w:rPr>
              <w:t>巡检项目</w:t>
            </w:r>
          </w:p>
        </w:tc>
        <w:tc>
          <w:tcPr>
            <w:tcW w:w="4506" w:type="dxa"/>
            <w:tcBorders>
              <w:top w:val="single" w:color="000000" w:sz="12" w:space="0"/>
            </w:tcBorders>
            <w:noWrap/>
            <w:vAlign w:val="center"/>
          </w:tcPr>
          <w:p w14:paraId="63211158">
            <w:pPr>
              <w:pStyle w:val="5"/>
              <w:spacing w:line="360" w:lineRule="auto"/>
              <w:rPr>
                <w:rFonts w:ascii="宋体" w:cs="宋体"/>
                <w:szCs w:val="24"/>
              </w:rPr>
            </w:pPr>
            <w:r>
              <w:rPr>
                <w:rFonts w:hint="eastAsia" w:ascii="宋体" w:hAnsi="宋体" w:cs="宋体"/>
                <w:szCs w:val="24"/>
              </w:rPr>
              <w:t>巡检要求</w:t>
            </w:r>
          </w:p>
        </w:tc>
      </w:tr>
      <w:tr w14:paraId="36BA6B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restart"/>
            <w:noWrap/>
            <w:vAlign w:val="center"/>
          </w:tcPr>
          <w:p w14:paraId="465765A1">
            <w:pPr>
              <w:pStyle w:val="5"/>
              <w:spacing w:line="360" w:lineRule="auto"/>
              <w:rPr>
                <w:rFonts w:ascii="宋体" w:cs="宋体"/>
                <w:szCs w:val="24"/>
              </w:rPr>
            </w:pPr>
            <w:r>
              <w:rPr>
                <w:rFonts w:ascii="宋体" w:hAnsi="宋体" w:cs="宋体"/>
                <w:szCs w:val="24"/>
              </w:rPr>
              <w:t>1</w:t>
            </w:r>
          </w:p>
        </w:tc>
        <w:tc>
          <w:tcPr>
            <w:tcW w:w="1575" w:type="dxa"/>
            <w:vMerge w:val="restart"/>
            <w:noWrap/>
            <w:vAlign w:val="center"/>
          </w:tcPr>
          <w:p w14:paraId="09016A3C">
            <w:pPr>
              <w:pStyle w:val="5"/>
              <w:spacing w:line="360" w:lineRule="auto"/>
              <w:rPr>
                <w:rFonts w:ascii="宋体" w:cs="宋体"/>
                <w:szCs w:val="24"/>
              </w:rPr>
            </w:pPr>
            <w:r>
              <w:rPr>
                <w:rFonts w:hint="eastAsia" w:ascii="宋体" w:hAnsi="宋体" w:cs="宋体"/>
                <w:szCs w:val="24"/>
              </w:rPr>
              <w:t>便携式无线电监测系统（接收机及配套天线、随机附件）</w:t>
            </w:r>
          </w:p>
        </w:tc>
        <w:tc>
          <w:tcPr>
            <w:tcW w:w="1881" w:type="dxa"/>
            <w:vMerge w:val="restart"/>
            <w:noWrap/>
            <w:vAlign w:val="center"/>
          </w:tcPr>
          <w:p w14:paraId="3C1D70A0">
            <w:pPr>
              <w:pStyle w:val="5"/>
              <w:spacing w:line="360" w:lineRule="auto"/>
              <w:rPr>
                <w:rFonts w:ascii="宋体" w:cs="宋体"/>
                <w:szCs w:val="24"/>
              </w:rPr>
            </w:pPr>
            <w:r>
              <w:rPr>
                <w:rFonts w:hint="eastAsia" w:ascii="宋体" w:hAnsi="宋体" w:cs="宋体"/>
                <w:szCs w:val="24"/>
              </w:rPr>
              <w:t>接收机功能性检查</w:t>
            </w:r>
          </w:p>
        </w:tc>
        <w:tc>
          <w:tcPr>
            <w:tcW w:w="4506" w:type="dxa"/>
            <w:noWrap/>
            <w:vAlign w:val="center"/>
          </w:tcPr>
          <w:p w14:paraId="71B63E08">
            <w:pPr>
              <w:pStyle w:val="5"/>
              <w:spacing w:line="360" w:lineRule="auto"/>
              <w:rPr>
                <w:rFonts w:ascii="宋体" w:cs="宋体"/>
                <w:szCs w:val="24"/>
              </w:rPr>
            </w:pPr>
            <w:r>
              <w:rPr>
                <w:rFonts w:hint="eastAsia" w:ascii="宋体" w:hAnsi="宋体" w:cs="宋体"/>
                <w:szCs w:val="24"/>
              </w:rPr>
              <w:t>设备外观检查，连接线检查整理。</w:t>
            </w:r>
          </w:p>
        </w:tc>
      </w:tr>
      <w:tr w14:paraId="721B8E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14:paraId="5FEC8CE7">
            <w:pPr>
              <w:pStyle w:val="5"/>
              <w:spacing w:line="360" w:lineRule="auto"/>
              <w:rPr>
                <w:rFonts w:ascii="宋体" w:cs="宋体"/>
                <w:szCs w:val="24"/>
              </w:rPr>
            </w:pPr>
          </w:p>
        </w:tc>
        <w:tc>
          <w:tcPr>
            <w:tcW w:w="1575" w:type="dxa"/>
            <w:vMerge w:val="continue"/>
            <w:noWrap/>
            <w:vAlign w:val="center"/>
          </w:tcPr>
          <w:p w14:paraId="7C68605A">
            <w:pPr>
              <w:pStyle w:val="5"/>
              <w:spacing w:line="360" w:lineRule="auto"/>
              <w:rPr>
                <w:rFonts w:ascii="宋体" w:cs="宋体"/>
                <w:szCs w:val="24"/>
              </w:rPr>
            </w:pPr>
          </w:p>
        </w:tc>
        <w:tc>
          <w:tcPr>
            <w:tcW w:w="1881" w:type="dxa"/>
            <w:vMerge w:val="continue"/>
            <w:noWrap/>
            <w:vAlign w:val="center"/>
          </w:tcPr>
          <w:p w14:paraId="4870E288">
            <w:pPr>
              <w:pStyle w:val="5"/>
              <w:spacing w:line="360" w:lineRule="auto"/>
              <w:rPr>
                <w:rFonts w:ascii="宋体" w:cs="宋体"/>
                <w:szCs w:val="24"/>
              </w:rPr>
            </w:pPr>
          </w:p>
        </w:tc>
        <w:tc>
          <w:tcPr>
            <w:tcW w:w="4506" w:type="dxa"/>
            <w:noWrap/>
            <w:vAlign w:val="center"/>
          </w:tcPr>
          <w:p w14:paraId="4B0C9068">
            <w:pPr>
              <w:pStyle w:val="5"/>
              <w:spacing w:line="360" w:lineRule="auto"/>
              <w:rPr>
                <w:rFonts w:ascii="宋体" w:cs="宋体"/>
                <w:szCs w:val="24"/>
              </w:rPr>
            </w:pPr>
            <w:r>
              <w:rPr>
                <w:rFonts w:hint="eastAsia" w:ascii="宋体" w:hAnsi="宋体" w:cs="宋体"/>
                <w:szCs w:val="24"/>
              </w:rPr>
              <w:t>设备开机自检是否正常。</w:t>
            </w:r>
          </w:p>
        </w:tc>
      </w:tr>
      <w:tr w14:paraId="06B156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14:paraId="0BF0D48B">
            <w:pPr>
              <w:pStyle w:val="5"/>
              <w:spacing w:line="360" w:lineRule="auto"/>
              <w:rPr>
                <w:rFonts w:ascii="宋体" w:cs="宋体"/>
                <w:szCs w:val="24"/>
              </w:rPr>
            </w:pPr>
          </w:p>
        </w:tc>
        <w:tc>
          <w:tcPr>
            <w:tcW w:w="1575" w:type="dxa"/>
            <w:vMerge w:val="continue"/>
            <w:noWrap/>
            <w:vAlign w:val="center"/>
          </w:tcPr>
          <w:p w14:paraId="6EFAB375">
            <w:pPr>
              <w:pStyle w:val="5"/>
              <w:spacing w:line="360" w:lineRule="auto"/>
              <w:rPr>
                <w:rFonts w:ascii="宋体" w:cs="宋体"/>
                <w:szCs w:val="24"/>
              </w:rPr>
            </w:pPr>
          </w:p>
        </w:tc>
        <w:tc>
          <w:tcPr>
            <w:tcW w:w="1881" w:type="dxa"/>
            <w:vMerge w:val="continue"/>
            <w:noWrap/>
            <w:vAlign w:val="center"/>
          </w:tcPr>
          <w:p w14:paraId="33EE1598">
            <w:pPr>
              <w:pStyle w:val="5"/>
              <w:spacing w:line="360" w:lineRule="auto"/>
              <w:rPr>
                <w:rFonts w:ascii="宋体" w:cs="宋体"/>
                <w:szCs w:val="24"/>
              </w:rPr>
            </w:pPr>
          </w:p>
        </w:tc>
        <w:tc>
          <w:tcPr>
            <w:tcW w:w="4506" w:type="dxa"/>
            <w:noWrap/>
            <w:vAlign w:val="center"/>
          </w:tcPr>
          <w:p w14:paraId="67D539B6">
            <w:pPr>
              <w:pStyle w:val="5"/>
              <w:spacing w:line="360" w:lineRule="auto"/>
              <w:rPr>
                <w:rFonts w:ascii="宋体" w:cs="宋体"/>
                <w:szCs w:val="24"/>
              </w:rPr>
            </w:pPr>
            <w:r>
              <w:rPr>
                <w:rFonts w:hint="eastAsia" w:ascii="宋体" w:hAnsi="宋体" w:cs="宋体"/>
                <w:szCs w:val="24"/>
              </w:rPr>
              <w:t>设备基本状态检查。</w:t>
            </w:r>
          </w:p>
        </w:tc>
      </w:tr>
      <w:tr w14:paraId="5DB52B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14:paraId="6664A553">
            <w:pPr>
              <w:pStyle w:val="5"/>
              <w:spacing w:line="360" w:lineRule="auto"/>
              <w:rPr>
                <w:rFonts w:ascii="宋体" w:cs="宋体"/>
                <w:szCs w:val="24"/>
              </w:rPr>
            </w:pPr>
          </w:p>
        </w:tc>
        <w:tc>
          <w:tcPr>
            <w:tcW w:w="1575" w:type="dxa"/>
            <w:vMerge w:val="continue"/>
            <w:noWrap/>
            <w:vAlign w:val="center"/>
          </w:tcPr>
          <w:p w14:paraId="7028B453">
            <w:pPr>
              <w:pStyle w:val="5"/>
              <w:spacing w:line="360" w:lineRule="auto"/>
              <w:rPr>
                <w:rFonts w:ascii="宋体" w:cs="宋体"/>
                <w:szCs w:val="24"/>
              </w:rPr>
            </w:pPr>
          </w:p>
        </w:tc>
        <w:tc>
          <w:tcPr>
            <w:tcW w:w="1881" w:type="dxa"/>
            <w:vMerge w:val="continue"/>
            <w:noWrap/>
            <w:vAlign w:val="center"/>
          </w:tcPr>
          <w:p w14:paraId="19AADB68">
            <w:pPr>
              <w:pStyle w:val="5"/>
              <w:spacing w:line="360" w:lineRule="auto"/>
              <w:rPr>
                <w:rFonts w:ascii="宋体" w:cs="宋体"/>
                <w:szCs w:val="24"/>
              </w:rPr>
            </w:pPr>
          </w:p>
        </w:tc>
        <w:tc>
          <w:tcPr>
            <w:tcW w:w="4506" w:type="dxa"/>
            <w:noWrap/>
            <w:vAlign w:val="center"/>
          </w:tcPr>
          <w:p w14:paraId="20FE01B1">
            <w:pPr>
              <w:pStyle w:val="5"/>
              <w:spacing w:line="360" w:lineRule="auto"/>
              <w:rPr>
                <w:rFonts w:ascii="宋体" w:cs="宋体"/>
                <w:szCs w:val="24"/>
              </w:rPr>
            </w:pPr>
            <w:r>
              <w:rPr>
                <w:rFonts w:hint="eastAsia" w:ascii="宋体" w:hAnsi="宋体" w:cs="宋体"/>
                <w:szCs w:val="24"/>
              </w:rPr>
              <w:t>接收机性能检查。</w:t>
            </w:r>
          </w:p>
        </w:tc>
      </w:tr>
      <w:tr w14:paraId="4BD113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14:paraId="22E7CCE4">
            <w:pPr>
              <w:pStyle w:val="5"/>
              <w:spacing w:line="360" w:lineRule="auto"/>
              <w:rPr>
                <w:rFonts w:ascii="宋体" w:cs="宋体"/>
                <w:szCs w:val="24"/>
              </w:rPr>
            </w:pPr>
          </w:p>
        </w:tc>
        <w:tc>
          <w:tcPr>
            <w:tcW w:w="1575" w:type="dxa"/>
            <w:vMerge w:val="continue"/>
            <w:noWrap/>
            <w:vAlign w:val="center"/>
          </w:tcPr>
          <w:p w14:paraId="349734C2">
            <w:pPr>
              <w:pStyle w:val="5"/>
              <w:spacing w:line="360" w:lineRule="auto"/>
              <w:rPr>
                <w:rFonts w:ascii="宋体" w:cs="宋体"/>
                <w:szCs w:val="24"/>
              </w:rPr>
            </w:pPr>
          </w:p>
        </w:tc>
        <w:tc>
          <w:tcPr>
            <w:tcW w:w="1881" w:type="dxa"/>
            <w:vMerge w:val="continue"/>
            <w:noWrap/>
            <w:vAlign w:val="center"/>
          </w:tcPr>
          <w:p w14:paraId="20639FD4">
            <w:pPr>
              <w:pStyle w:val="5"/>
              <w:spacing w:line="360" w:lineRule="auto"/>
              <w:rPr>
                <w:rFonts w:ascii="宋体" w:cs="宋体"/>
                <w:szCs w:val="24"/>
              </w:rPr>
            </w:pPr>
          </w:p>
        </w:tc>
        <w:tc>
          <w:tcPr>
            <w:tcW w:w="4506" w:type="dxa"/>
            <w:noWrap/>
            <w:vAlign w:val="center"/>
          </w:tcPr>
          <w:p w14:paraId="63D9CFF1">
            <w:pPr>
              <w:pStyle w:val="5"/>
              <w:spacing w:line="360" w:lineRule="auto"/>
              <w:rPr>
                <w:rFonts w:ascii="宋体" w:cs="宋体"/>
                <w:szCs w:val="24"/>
              </w:rPr>
            </w:pPr>
            <w:r>
              <w:rPr>
                <w:rFonts w:hint="eastAsia" w:ascii="宋体" w:hAnsi="宋体" w:cs="宋体"/>
                <w:szCs w:val="24"/>
              </w:rPr>
              <w:t>电池是否能正常进行充、放电。</w:t>
            </w:r>
          </w:p>
        </w:tc>
      </w:tr>
      <w:tr w14:paraId="270CC9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restart"/>
            <w:noWrap/>
            <w:vAlign w:val="center"/>
          </w:tcPr>
          <w:p w14:paraId="3030A193">
            <w:pPr>
              <w:pStyle w:val="5"/>
              <w:spacing w:line="360" w:lineRule="auto"/>
              <w:rPr>
                <w:rFonts w:ascii="宋体" w:cs="宋体"/>
                <w:szCs w:val="24"/>
              </w:rPr>
            </w:pPr>
            <w:r>
              <w:rPr>
                <w:rFonts w:ascii="宋体" w:hAnsi="宋体" w:cs="宋体"/>
                <w:szCs w:val="24"/>
              </w:rPr>
              <w:t>2</w:t>
            </w:r>
          </w:p>
        </w:tc>
        <w:tc>
          <w:tcPr>
            <w:tcW w:w="1575" w:type="dxa"/>
            <w:vMerge w:val="continue"/>
            <w:noWrap/>
            <w:vAlign w:val="center"/>
          </w:tcPr>
          <w:p w14:paraId="40610BC8">
            <w:pPr>
              <w:pStyle w:val="5"/>
              <w:spacing w:line="360" w:lineRule="auto"/>
              <w:rPr>
                <w:rFonts w:ascii="宋体" w:cs="宋体"/>
                <w:szCs w:val="24"/>
              </w:rPr>
            </w:pPr>
          </w:p>
        </w:tc>
        <w:tc>
          <w:tcPr>
            <w:tcW w:w="1881" w:type="dxa"/>
            <w:vMerge w:val="restart"/>
            <w:noWrap/>
            <w:vAlign w:val="center"/>
          </w:tcPr>
          <w:p w14:paraId="06BBD42B">
            <w:pPr>
              <w:pStyle w:val="5"/>
              <w:spacing w:line="360" w:lineRule="auto"/>
              <w:rPr>
                <w:rFonts w:ascii="宋体" w:cs="宋体"/>
                <w:szCs w:val="24"/>
              </w:rPr>
            </w:pPr>
            <w:r>
              <w:rPr>
                <w:rFonts w:hint="eastAsia" w:ascii="宋体" w:hAnsi="宋体" w:cs="宋体"/>
                <w:szCs w:val="24"/>
              </w:rPr>
              <w:t>系统性能检查</w:t>
            </w:r>
          </w:p>
        </w:tc>
        <w:tc>
          <w:tcPr>
            <w:tcW w:w="4506" w:type="dxa"/>
            <w:noWrap/>
            <w:vAlign w:val="center"/>
          </w:tcPr>
          <w:p w14:paraId="44750131">
            <w:pPr>
              <w:pStyle w:val="5"/>
              <w:spacing w:line="360" w:lineRule="auto"/>
              <w:rPr>
                <w:rFonts w:ascii="宋体" w:cs="宋体"/>
                <w:szCs w:val="24"/>
              </w:rPr>
            </w:pPr>
            <w:r>
              <w:rPr>
                <w:rFonts w:hint="eastAsia" w:ascii="宋体" w:hAnsi="宋体" w:cs="宋体"/>
                <w:szCs w:val="24"/>
              </w:rPr>
              <w:t>配套天线是否齐全、无损</w:t>
            </w:r>
          </w:p>
        </w:tc>
      </w:tr>
      <w:tr w14:paraId="31C505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14:paraId="361EFC22">
            <w:pPr>
              <w:pStyle w:val="5"/>
              <w:spacing w:line="360" w:lineRule="auto"/>
              <w:rPr>
                <w:rFonts w:ascii="宋体" w:cs="宋体"/>
                <w:szCs w:val="24"/>
              </w:rPr>
            </w:pPr>
          </w:p>
        </w:tc>
        <w:tc>
          <w:tcPr>
            <w:tcW w:w="1575" w:type="dxa"/>
            <w:vMerge w:val="continue"/>
            <w:noWrap/>
            <w:vAlign w:val="center"/>
          </w:tcPr>
          <w:p w14:paraId="4C394EFD">
            <w:pPr>
              <w:pStyle w:val="5"/>
              <w:spacing w:line="360" w:lineRule="auto"/>
              <w:rPr>
                <w:rFonts w:ascii="宋体" w:cs="宋体"/>
                <w:szCs w:val="24"/>
              </w:rPr>
            </w:pPr>
          </w:p>
        </w:tc>
        <w:tc>
          <w:tcPr>
            <w:tcW w:w="1881" w:type="dxa"/>
            <w:vMerge w:val="continue"/>
            <w:noWrap/>
            <w:vAlign w:val="center"/>
          </w:tcPr>
          <w:p w14:paraId="1C8D350F">
            <w:pPr>
              <w:pStyle w:val="5"/>
              <w:spacing w:line="360" w:lineRule="auto"/>
              <w:rPr>
                <w:rFonts w:ascii="宋体" w:cs="宋体"/>
                <w:szCs w:val="24"/>
              </w:rPr>
            </w:pPr>
          </w:p>
        </w:tc>
        <w:tc>
          <w:tcPr>
            <w:tcW w:w="4506" w:type="dxa"/>
            <w:noWrap/>
            <w:vAlign w:val="center"/>
          </w:tcPr>
          <w:p w14:paraId="4811A00F">
            <w:pPr>
              <w:pStyle w:val="5"/>
              <w:spacing w:line="360" w:lineRule="auto"/>
              <w:rPr>
                <w:rFonts w:ascii="宋体" w:cs="宋体"/>
                <w:szCs w:val="24"/>
              </w:rPr>
            </w:pPr>
            <w:r>
              <w:rPr>
                <w:rFonts w:hint="eastAsia" w:ascii="宋体" w:hAnsi="宋体" w:cs="宋体"/>
                <w:szCs w:val="24"/>
              </w:rPr>
              <w:t>配套天线驻波比测试</w:t>
            </w:r>
          </w:p>
        </w:tc>
      </w:tr>
      <w:tr w14:paraId="2BEECC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14:paraId="74C8ADB2">
            <w:pPr>
              <w:pStyle w:val="5"/>
              <w:spacing w:line="360" w:lineRule="auto"/>
              <w:rPr>
                <w:rFonts w:ascii="宋体" w:cs="宋体"/>
                <w:szCs w:val="24"/>
              </w:rPr>
            </w:pPr>
          </w:p>
        </w:tc>
        <w:tc>
          <w:tcPr>
            <w:tcW w:w="1575" w:type="dxa"/>
            <w:vMerge w:val="continue"/>
            <w:noWrap/>
            <w:vAlign w:val="center"/>
          </w:tcPr>
          <w:p w14:paraId="5394FD39">
            <w:pPr>
              <w:pStyle w:val="5"/>
              <w:spacing w:line="360" w:lineRule="auto"/>
              <w:rPr>
                <w:rFonts w:ascii="宋体" w:cs="宋体"/>
                <w:szCs w:val="24"/>
              </w:rPr>
            </w:pPr>
          </w:p>
        </w:tc>
        <w:tc>
          <w:tcPr>
            <w:tcW w:w="1881" w:type="dxa"/>
            <w:vMerge w:val="continue"/>
            <w:noWrap/>
            <w:vAlign w:val="center"/>
          </w:tcPr>
          <w:p w14:paraId="56CC8177">
            <w:pPr>
              <w:pStyle w:val="5"/>
              <w:spacing w:line="360" w:lineRule="auto"/>
              <w:rPr>
                <w:rFonts w:ascii="宋体" w:cs="宋体"/>
                <w:szCs w:val="24"/>
              </w:rPr>
            </w:pPr>
          </w:p>
        </w:tc>
        <w:tc>
          <w:tcPr>
            <w:tcW w:w="4506" w:type="dxa"/>
            <w:noWrap/>
            <w:vAlign w:val="center"/>
          </w:tcPr>
          <w:p w14:paraId="2A8FAAB5">
            <w:pPr>
              <w:pStyle w:val="5"/>
              <w:spacing w:line="360" w:lineRule="auto"/>
              <w:rPr>
                <w:rFonts w:ascii="宋体" w:cs="宋体"/>
                <w:szCs w:val="24"/>
              </w:rPr>
            </w:pPr>
            <w:r>
              <w:rPr>
                <w:rFonts w:hint="eastAsia" w:ascii="宋体" w:hAnsi="宋体" w:cs="宋体"/>
                <w:szCs w:val="24"/>
              </w:rPr>
              <w:t>随机附件是否齐全</w:t>
            </w:r>
          </w:p>
        </w:tc>
      </w:tr>
      <w:tr w14:paraId="25232A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tcBorders>
              <w:bottom w:val="single" w:color="000000" w:sz="12" w:space="0"/>
            </w:tcBorders>
            <w:noWrap/>
            <w:vAlign w:val="center"/>
          </w:tcPr>
          <w:p w14:paraId="267F50E2">
            <w:pPr>
              <w:pStyle w:val="5"/>
              <w:spacing w:line="360" w:lineRule="auto"/>
              <w:rPr>
                <w:rFonts w:ascii="宋体" w:cs="宋体"/>
                <w:szCs w:val="24"/>
              </w:rPr>
            </w:pPr>
          </w:p>
        </w:tc>
        <w:tc>
          <w:tcPr>
            <w:tcW w:w="1575" w:type="dxa"/>
            <w:vMerge w:val="continue"/>
            <w:tcBorders>
              <w:bottom w:val="single" w:color="000000" w:sz="12" w:space="0"/>
            </w:tcBorders>
            <w:noWrap/>
            <w:vAlign w:val="center"/>
          </w:tcPr>
          <w:p w14:paraId="314B895C">
            <w:pPr>
              <w:pStyle w:val="5"/>
              <w:spacing w:line="360" w:lineRule="auto"/>
              <w:rPr>
                <w:rFonts w:ascii="宋体" w:cs="宋体"/>
                <w:szCs w:val="24"/>
              </w:rPr>
            </w:pPr>
          </w:p>
        </w:tc>
        <w:tc>
          <w:tcPr>
            <w:tcW w:w="1881" w:type="dxa"/>
            <w:vMerge w:val="continue"/>
            <w:tcBorders>
              <w:bottom w:val="single" w:color="000000" w:sz="12" w:space="0"/>
            </w:tcBorders>
            <w:noWrap/>
            <w:vAlign w:val="center"/>
          </w:tcPr>
          <w:p w14:paraId="1C51BF14">
            <w:pPr>
              <w:pStyle w:val="5"/>
              <w:spacing w:line="360" w:lineRule="auto"/>
              <w:rPr>
                <w:rFonts w:ascii="宋体" w:cs="宋体"/>
                <w:szCs w:val="24"/>
              </w:rPr>
            </w:pPr>
          </w:p>
        </w:tc>
        <w:tc>
          <w:tcPr>
            <w:tcW w:w="4506" w:type="dxa"/>
            <w:tcBorders>
              <w:bottom w:val="single" w:color="000000" w:sz="12" w:space="0"/>
            </w:tcBorders>
            <w:noWrap/>
            <w:vAlign w:val="center"/>
          </w:tcPr>
          <w:p w14:paraId="0277B7D4">
            <w:pPr>
              <w:pStyle w:val="5"/>
              <w:spacing w:line="360" w:lineRule="auto"/>
              <w:rPr>
                <w:rFonts w:ascii="宋体" w:cs="宋体"/>
                <w:szCs w:val="24"/>
              </w:rPr>
            </w:pPr>
            <w:r>
              <w:rPr>
                <w:rFonts w:hint="eastAsia" w:ascii="宋体" w:hAnsi="宋体" w:cs="宋体"/>
                <w:szCs w:val="24"/>
              </w:rPr>
              <w:t>监测系统指标测试</w:t>
            </w:r>
          </w:p>
        </w:tc>
      </w:tr>
    </w:tbl>
    <w:p w14:paraId="6FDF167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宋体" w:eastAsia="仿宋_GB2312"/>
          <w:sz w:val="32"/>
          <w:lang w:eastAsia="zh-CN"/>
        </w:rPr>
      </w:pPr>
      <w:r>
        <w:rPr>
          <w:rFonts w:hint="eastAsia" w:ascii="仿宋_GB2312" w:hAnsi="宋体" w:eastAsia="仿宋_GB2312"/>
          <w:b/>
          <w:bCs/>
          <w:sz w:val="32"/>
          <w:lang w:val="en-US" w:eastAsia="zh-CN"/>
        </w:rPr>
        <w:t>3.日常检查</w:t>
      </w:r>
    </w:p>
    <w:p w14:paraId="64BBE64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宋体" w:eastAsia="仿宋_GB2312" w:cstheme="minorBidi"/>
          <w:b w:val="0"/>
          <w:bCs w:val="0"/>
          <w:color w:val="auto"/>
          <w:kern w:val="2"/>
          <w:sz w:val="32"/>
          <w:szCs w:val="24"/>
          <w:lang w:val="en-US" w:eastAsia="zh-CN" w:bidi="ar-SA"/>
        </w:rPr>
      </w:pPr>
      <w:r>
        <w:rPr>
          <w:rFonts w:hint="eastAsia" w:ascii="仿宋_GB2312" w:hAnsi="宋体" w:eastAsia="仿宋_GB2312" w:cstheme="minorBidi"/>
          <w:b w:val="0"/>
          <w:bCs w:val="0"/>
          <w:color w:val="auto"/>
          <w:kern w:val="2"/>
          <w:sz w:val="32"/>
          <w:szCs w:val="24"/>
          <w:lang w:val="en-US" w:eastAsia="zh-CN" w:bidi="ar-SA"/>
        </w:rPr>
        <w:t>3.1服务要求</w:t>
      </w:r>
    </w:p>
    <w:p w14:paraId="4A1EC19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仿宋_GB2312" w:hAnsi="宋体" w:eastAsia="仿宋_GB2312" w:cstheme="minorBidi"/>
          <w:b w:val="0"/>
          <w:bCs w:val="0"/>
          <w:color w:val="auto"/>
          <w:kern w:val="2"/>
          <w:sz w:val="32"/>
          <w:szCs w:val="24"/>
          <w:lang w:val="en-US" w:eastAsia="zh-CN" w:bidi="ar-SA"/>
        </w:rPr>
      </w:pPr>
      <w:r>
        <w:rPr>
          <w:rFonts w:hint="default" w:ascii="仿宋_GB2312" w:hAnsi="宋体" w:eastAsia="仿宋_GB2312" w:cstheme="minorBidi"/>
          <w:b w:val="0"/>
          <w:bCs w:val="0"/>
          <w:color w:val="auto"/>
          <w:kern w:val="2"/>
          <w:sz w:val="32"/>
          <w:szCs w:val="24"/>
          <w:lang w:val="en-US" w:eastAsia="zh-CN" w:bidi="ar-SA"/>
        </w:rPr>
        <w:t>（1）运维服务期内每月至少2次负责按照规范要求完成对无线电固定监测站的日常检查；</w:t>
      </w:r>
    </w:p>
    <w:p w14:paraId="7213754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仿宋_GB2312" w:hAnsi="宋体" w:eastAsia="仿宋_GB2312" w:cstheme="minorBidi"/>
          <w:b w:val="0"/>
          <w:bCs w:val="0"/>
          <w:color w:val="auto"/>
          <w:kern w:val="2"/>
          <w:sz w:val="32"/>
          <w:szCs w:val="24"/>
          <w:lang w:val="en-US" w:eastAsia="zh-CN" w:bidi="ar-SA"/>
        </w:rPr>
      </w:pPr>
      <w:r>
        <w:rPr>
          <w:rFonts w:hint="default" w:ascii="仿宋_GB2312" w:hAnsi="宋体" w:eastAsia="仿宋_GB2312" w:cstheme="minorBidi"/>
          <w:b w:val="0"/>
          <w:bCs w:val="0"/>
          <w:color w:val="auto"/>
          <w:kern w:val="2"/>
          <w:sz w:val="32"/>
          <w:szCs w:val="24"/>
          <w:lang w:val="en-US" w:eastAsia="zh-CN" w:bidi="ar-SA"/>
        </w:rPr>
        <w:t>（2）运维服务期内每月至少1次负责按照规范要求完成对移动监测站、便携式监测设备、</w:t>
      </w:r>
      <w:r>
        <w:rPr>
          <w:rFonts w:hint="eastAsia" w:ascii="仿宋_GB2312" w:hAnsi="宋体" w:eastAsia="仿宋_GB2312" w:cstheme="minorBidi"/>
          <w:b w:val="0"/>
          <w:bCs w:val="0"/>
          <w:color w:val="auto"/>
          <w:kern w:val="2"/>
          <w:sz w:val="32"/>
          <w:szCs w:val="24"/>
          <w:lang w:val="en-US" w:eastAsia="zh-CN" w:bidi="ar-SA"/>
        </w:rPr>
        <w:t>无线电</w:t>
      </w:r>
      <w:r>
        <w:rPr>
          <w:rFonts w:hint="default" w:ascii="仿宋_GB2312" w:hAnsi="宋体" w:eastAsia="仿宋_GB2312" w:cstheme="minorBidi"/>
          <w:b w:val="0"/>
          <w:bCs w:val="0"/>
          <w:color w:val="auto"/>
          <w:kern w:val="2"/>
          <w:sz w:val="32"/>
          <w:szCs w:val="24"/>
          <w:lang w:val="en-US" w:eastAsia="zh-CN" w:bidi="ar-SA"/>
        </w:rPr>
        <w:t>监测控制中心的日常检查；</w:t>
      </w:r>
    </w:p>
    <w:p w14:paraId="3C1DE8D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仿宋_GB2312" w:hAnsi="宋体" w:eastAsia="仿宋_GB2312" w:cstheme="minorBidi"/>
          <w:b w:val="0"/>
          <w:bCs w:val="0"/>
          <w:color w:val="auto"/>
          <w:kern w:val="2"/>
          <w:sz w:val="32"/>
          <w:szCs w:val="24"/>
          <w:lang w:val="en-US" w:eastAsia="zh-CN" w:bidi="ar-SA"/>
        </w:rPr>
      </w:pPr>
      <w:r>
        <w:rPr>
          <w:rFonts w:hint="default" w:ascii="仿宋_GB2312" w:hAnsi="宋体" w:eastAsia="仿宋_GB2312" w:cstheme="minorBidi"/>
          <w:b w:val="0"/>
          <w:bCs w:val="0"/>
          <w:color w:val="auto"/>
          <w:kern w:val="2"/>
          <w:sz w:val="32"/>
          <w:szCs w:val="24"/>
          <w:lang w:val="en-US" w:eastAsia="zh-CN" w:bidi="ar-SA"/>
        </w:rPr>
        <w:t>（3）对无线电技术设施主要监测系统提供功能测试和检查服务，故障及时响应处置，并做好日常检查工作记录。</w:t>
      </w:r>
    </w:p>
    <w:p w14:paraId="5EE7B39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default" w:ascii="仿宋_GB2312" w:hAnsi="宋体" w:eastAsia="仿宋_GB2312" w:cstheme="minorBidi"/>
          <w:b w:val="0"/>
          <w:bCs w:val="0"/>
          <w:color w:val="auto"/>
          <w:kern w:val="2"/>
          <w:sz w:val="32"/>
          <w:szCs w:val="24"/>
          <w:lang w:val="en-US" w:eastAsia="zh-CN" w:bidi="ar-SA"/>
        </w:rPr>
      </w:pPr>
      <w:r>
        <w:rPr>
          <w:rFonts w:hint="eastAsia" w:ascii="仿宋_GB2312" w:hAnsi="宋体" w:eastAsia="仿宋_GB2312" w:cstheme="minorBidi"/>
          <w:b w:val="0"/>
          <w:bCs w:val="0"/>
          <w:color w:val="auto"/>
          <w:kern w:val="2"/>
          <w:sz w:val="32"/>
          <w:szCs w:val="24"/>
          <w:lang w:val="en-US" w:eastAsia="zh-CN" w:bidi="ar-SA"/>
        </w:rPr>
        <w:t>3.2日常检查内容</w:t>
      </w:r>
    </w:p>
    <w:p w14:paraId="66558AC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default" w:ascii="仿宋_GB2312" w:hAnsi="宋体" w:eastAsia="仿宋_GB2312" w:cstheme="minorBidi"/>
          <w:b w:val="0"/>
          <w:bCs w:val="0"/>
          <w:color w:val="auto"/>
          <w:kern w:val="2"/>
          <w:sz w:val="32"/>
          <w:szCs w:val="24"/>
          <w:lang w:val="en-US" w:eastAsia="zh-CN" w:bidi="ar-SA"/>
        </w:rPr>
      </w:pPr>
      <w:r>
        <w:rPr>
          <w:rFonts w:hint="eastAsia" w:ascii="仿宋_GB2312" w:hAnsi="宋体" w:eastAsia="仿宋_GB2312" w:cstheme="minorBidi"/>
          <w:b w:val="0"/>
          <w:bCs w:val="0"/>
          <w:color w:val="auto"/>
          <w:kern w:val="2"/>
          <w:sz w:val="32"/>
          <w:szCs w:val="24"/>
          <w:lang w:val="en-US" w:eastAsia="zh-CN" w:bidi="ar-SA"/>
        </w:rPr>
        <w:t>（1）无线电固定监测站</w:t>
      </w:r>
    </w:p>
    <w:p w14:paraId="4032E57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仿宋_GB2312" w:hAnsi="宋体" w:eastAsia="仿宋_GB2312" w:cstheme="minorBidi"/>
          <w:b w:val="0"/>
          <w:bCs w:val="0"/>
          <w:color w:val="auto"/>
          <w:kern w:val="2"/>
          <w:sz w:val="32"/>
          <w:szCs w:val="24"/>
          <w:lang w:val="en-US" w:eastAsia="zh-CN" w:bidi="ar-SA"/>
        </w:rPr>
      </w:pPr>
      <w:r>
        <w:rPr>
          <w:rFonts w:hint="eastAsia" w:ascii="仿宋_GB2312" w:hAnsi="宋体" w:eastAsia="仿宋_GB2312" w:cstheme="minorBidi"/>
          <w:b w:val="0"/>
          <w:bCs w:val="0"/>
          <w:color w:val="auto"/>
          <w:kern w:val="2"/>
          <w:sz w:val="32"/>
          <w:szCs w:val="24"/>
          <w:lang w:val="en-US" w:eastAsia="zh-CN" w:bidi="ar-SA"/>
        </w:rPr>
        <w:t>检查内容包括但不限于：检查计算机及服务器系统运行情况；检查监测、测向应用软件以及其他辅助软件的各种功能；测试网络、控制线及系统间连通及数据传输情况；监控系统检查。</w:t>
      </w:r>
    </w:p>
    <w:p w14:paraId="19B6FCB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仿宋_GB2312" w:hAnsi="宋体" w:eastAsia="仿宋_GB2312" w:cstheme="minorBidi"/>
          <w:b w:val="0"/>
          <w:bCs w:val="0"/>
          <w:color w:val="auto"/>
          <w:kern w:val="2"/>
          <w:sz w:val="32"/>
          <w:szCs w:val="24"/>
          <w:lang w:val="en-US" w:eastAsia="zh-CN" w:bidi="ar-SA"/>
        </w:rPr>
      </w:pPr>
      <w:r>
        <w:rPr>
          <w:rFonts w:hint="eastAsia" w:ascii="仿宋_GB2312" w:hAnsi="宋体" w:eastAsia="仿宋_GB2312" w:cstheme="minorBidi"/>
          <w:b w:val="0"/>
          <w:bCs w:val="0"/>
          <w:color w:val="auto"/>
          <w:kern w:val="2"/>
          <w:sz w:val="32"/>
          <w:szCs w:val="24"/>
          <w:lang w:val="en-US" w:eastAsia="zh-CN" w:bidi="ar-SA"/>
        </w:rPr>
        <w:t>（2）移动监测站、便携式监测设备</w:t>
      </w:r>
    </w:p>
    <w:p w14:paraId="013A891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仿宋_GB2312" w:hAnsi="宋体" w:eastAsia="仿宋_GB2312" w:cstheme="minorBidi"/>
          <w:b w:val="0"/>
          <w:bCs w:val="0"/>
          <w:color w:val="auto"/>
          <w:kern w:val="2"/>
          <w:sz w:val="32"/>
          <w:szCs w:val="24"/>
          <w:lang w:val="en-US" w:eastAsia="zh-CN" w:bidi="ar-SA"/>
        </w:rPr>
      </w:pPr>
      <w:r>
        <w:rPr>
          <w:rFonts w:hint="eastAsia" w:ascii="仿宋_GB2312" w:hAnsi="宋体" w:eastAsia="仿宋_GB2312" w:cstheme="minorBidi"/>
          <w:b w:val="0"/>
          <w:bCs w:val="0"/>
          <w:color w:val="auto"/>
          <w:kern w:val="2"/>
          <w:sz w:val="32"/>
          <w:szCs w:val="24"/>
          <w:lang w:val="en-US" w:eastAsia="zh-CN" w:bidi="ar-SA"/>
        </w:rPr>
        <w:t>检查内容包括但不限于：检查设备开机启动运行情况；检查设备自检情况；检查监测、测向应用软件运行情况；电池充电等。</w:t>
      </w:r>
    </w:p>
    <w:p w14:paraId="5235F5B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仿宋_GB2312" w:hAnsi="宋体" w:eastAsia="仿宋_GB2312" w:cstheme="minorBidi"/>
          <w:b w:val="0"/>
          <w:bCs w:val="0"/>
          <w:color w:val="auto"/>
          <w:kern w:val="2"/>
          <w:sz w:val="32"/>
          <w:szCs w:val="24"/>
          <w:lang w:val="en-US" w:eastAsia="zh-CN" w:bidi="ar-SA"/>
        </w:rPr>
      </w:pPr>
      <w:r>
        <w:rPr>
          <w:rFonts w:hint="eastAsia" w:ascii="仿宋_GB2312" w:hAnsi="宋体" w:eastAsia="仿宋_GB2312" w:cstheme="minorBidi"/>
          <w:b w:val="0"/>
          <w:bCs w:val="0"/>
          <w:color w:val="auto"/>
          <w:kern w:val="2"/>
          <w:sz w:val="32"/>
          <w:szCs w:val="24"/>
          <w:lang w:val="en-US" w:eastAsia="zh-CN" w:bidi="ar-SA"/>
        </w:rPr>
        <w:t>（3）无线电控制中心</w:t>
      </w:r>
    </w:p>
    <w:p w14:paraId="130256E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仿宋_GB2312" w:hAnsi="宋体" w:eastAsia="仿宋_GB2312" w:cstheme="minorBidi"/>
          <w:b w:val="0"/>
          <w:bCs w:val="0"/>
          <w:color w:val="auto"/>
          <w:kern w:val="2"/>
          <w:sz w:val="32"/>
          <w:szCs w:val="24"/>
          <w:lang w:val="en-US" w:eastAsia="zh-CN" w:bidi="ar-SA"/>
        </w:rPr>
      </w:pPr>
      <w:r>
        <w:rPr>
          <w:rFonts w:hint="eastAsia" w:ascii="仿宋_GB2312" w:hAnsi="宋体" w:eastAsia="仿宋_GB2312" w:cstheme="minorBidi"/>
          <w:b w:val="0"/>
          <w:bCs w:val="0"/>
          <w:color w:val="auto"/>
          <w:kern w:val="2"/>
          <w:sz w:val="32"/>
          <w:szCs w:val="24"/>
          <w:lang w:val="en-US" w:eastAsia="zh-CN" w:bidi="ar-SA"/>
        </w:rPr>
        <w:t>检查内容包括但不限于：检查大屏幕及相关主设备开机启动运行情况、检查视频会议系统工作情况、检查控制终端运行情况及环境监控系统运行情况等。</w:t>
      </w:r>
    </w:p>
    <w:p w14:paraId="2A94144C">
      <w:pPr>
        <w:ind w:firstLine="643" w:firstLineChars="200"/>
        <w:rPr>
          <w:rFonts w:hint="eastAsia" w:ascii="仿宋_GB2312" w:hAnsi="宋体" w:eastAsia="仿宋_GB2312"/>
          <w:color w:val="auto"/>
          <w:sz w:val="32"/>
          <w:lang w:eastAsia="zh-CN"/>
        </w:rPr>
      </w:pPr>
      <w:r>
        <w:rPr>
          <w:rFonts w:hint="eastAsia" w:ascii="仿宋_GB2312" w:hAnsi="宋体" w:eastAsia="仿宋_GB2312"/>
          <w:b/>
          <w:bCs/>
          <w:color w:val="auto"/>
          <w:sz w:val="32"/>
          <w:lang w:eastAsia="zh-CN"/>
        </w:rPr>
        <w:t>4.应急维护及重大活动保障服务</w:t>
      </w:r>
    </w:p>
    <w:p w14:paraId="6500A11C">
      <w:pPr>
        <w:numPr>
          <w:ilvl w:val="0"/>
          <w:numId w:val="0"/>
        </w:numPr>
        <w:ind w:leftChars="0" w:firstLine="640" w:firstLineChars="200"/>
        <w:rPr>
          <w:rFonts w:hint="eastAsia" w:ascii="仿宋_GB2312" w:hAnsi="宋体" w:eastAsia="仿宋_GB2312"/>
          <w:sz w:val="32"/>
          <w:lang w:eastAsia="zh-CN"/>
        </w:rPr>
      </w:pPr>
      <w:r>
        <w:rPr>
          <w:rFonts w:hint="eastAsia" w:ascii="仿宋_GB2312" w:hAnsi="宋体" w:eastAsia="仿宋_GB2312"/>
          <w:b w:val="0"/>
          <w:bCs w:val="0"/>
          <w:color w:val="auto"/>
          <w:sz w:val="32"/>
          <w:lang w:eastAsia="zh-CN"/>
        </w:rPr>
        <w:t>（1）投标人应备有科学的应急预案或紧急处置措施，</w:t>
      </w:r>
      <w:r>
        <w:rPr>
          <w:rFonts w:hint="eastAsia" w:ascii="仿宋_GB2312" w:hAnsi="宋体" w:eastAsia="仿宋_GB2312"/>
          <w:color w:val="auto"/>
          <w:sz w:val="32"/>
          <w:lang w:eastAsia="zh-CN"/>
        </w:rPr>
        <w:t>运维服务期内若遇有重大自然灾害(台风、雷暴雨、地震等)发生或即将发生，应及时启动应急预案，第一时间到达现场，做好防灾抗灾和应急抢险等各项准备；应重点检查机房密封性、设施(设备)紧固性、防雷安全性等方面，组织做好固定站相关设施（设备）</w:t>
      </w:r>
      <w:r>
        <w:rPr>
          <w:rFonts w:hint="eastAsia" w:ascii="仿宋_GB2312" w:hAnsi="宋体" w:eastAsia="仿宋_GB2312"/>
          <w:sz w:val="32"/>
          <w:lang w:eastAsia="zh-CN"/>
        </w:rPr>
        <w:t>加固工作和防灾应急处置，在确保人员自身安全的前提下，及时消除安全隐患，对已受影响或受损的固定站相关设施（设备）进行统计分析和评估，形成情况报告并及时协助开展灾后恢复工作，确保固定站在最短时间内恢复正常运转。</w:t>
      </w:r>
    </w:p>
    <w:p w14:paraId="6BA1E852">
      <w:pPr>
        <w:numPr>
          <w:ilvl w:val="0"/>
          <w:numId w:val="0"/>
        </w:numPr>
        <w:ind w:leftChars="0"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2）运维服务期内若遇执行重大活动保障(如党政重大活动、重大文体活动、重要大型考试)、大型无线电技术演练活动或紧急干扰排查等任务时，需提供必要的技术支持、备品备件和运维保障服务，针对服务范围内相关的无线电监测设施做好专项巡检，任务执行过程中全程保障设备的正常使用。所有情况按照要求详细做好记录，存入无线电监测设施运维档案中。</w:t>
      </w:r>
    </w:p>
    <w:p w14:paraId="3FA65C08">
      <w:pPr>
        <w:numPr>
          <w:ilvl w:val="0"/>
          <w:numId w:val="0"/>
        </w:numPr>
        <w:ind w:leftChars="0" w:firstLine="643" w:firstLineChars="200"/>
        <w:rPr>
          <w:rFonts w:hint="eastAsia" w:ascii="仿宋_GB2312" w:hAnsi="宋体" w:eastAsia="仿宋_GB2312"/>
          <w:b/>
          <w:bCs/>
          <w:sz w:val="32"/>
          <w:lang w:eastAsia="zh-CN"/>
        </w:rPr>
      </w:pPr>
      <w:r>
        <w:rPr>
          <w:rFonts w:hint="eastAsia" w:ascii="仿宋_GB2312" w:hAnsi="宋体" w:eastAsia="仿宋_GB2312"/>
          <w:b/>
          <w:bCs/>
          <w:sz w:val="32"/>
          <w:lang w:val="en-US" w:eastAsia="zh-CN"/>
        </w:rPr>
        <w:t>5</w:t>
      </w:r>
      <w:r>
        <w:rPr>
          <w:rFonts w:hint="eastAsia" w:ascii="仿宋_GB2312" w:hAnsi="宋体" w:eastAsia="仿宋_GB2312"/>
          <w:b/>
          <w:bCs/>
          <w:sz w:val="32"/>
          <w:lang w:eastAsia="zh-CN"/>
        </w:rPr>
        <w:t>.故障排查与维修服务</w:t>
      </w:r>
    </w:p>
    <w:p w14:paraId="08AD67B9">
      <w:pPr>
        <w:ind w:firstLine="640" w:firstLineChars="200"/>
        <w:rPr>
          <w:rFonts w:hint="eastAsia" w:ascii="仿宋_GB2312" w:hAnsi="宋体" w:eastAsia="仿宋_GB2312"/>
          <w:sz w:val="32"/>
          <w:highlight w:val="none"/>
          <w:lang w:eastAsia="zh-CN"/>
        </w:rPr>
      </w:pPr>
      <w:r>
        <w:rPr>
          <w:rFonts w:hint="eastAsia" w:ascii="仿宋_GB2312" w:hAnsi="宋体" w:eastAsia="仿宋_GB2312"/>
          <w:sz w:val="32"/>
          <w:highlight w:val="none"/>
          <w:lang w:eastAsia="zh-CN"/>
        </w:rPr>
        <w:t>5.1故障处理服务范围</w:t>
      </w:r>
    </w:p>
    <w:p w14:paraId="08CC33D8">
      <w:pPr>
        <w:ind w:firstLine="640" w:firstLineChars="200"/>
        <w:rPr>
          <w:rFonts w:hint="eastAsia" w:ascii="仿宋_GB2312" w:hAnsi="宋体" w:eastAsia="仿宋_GB2312"/>
          <w:sz w:val="32"/>
          <w:highlight w:val="none"/>
          <w:lang w:eastAsia="zh-CN"/>
        </w:rPr>
      </w:pPr>
      <w:r>
        <w:rPr>
          <w:rFonts w:hint="eastAsia" w:ascii="仿宋_GB2312" w:hAnsi="宋体" w:eastAsia="仿宋_GB2312"/>
          <w:sz w:val="32"/>
          <w:highlight w:val="none"/>
          <w:lang w:eastAsia="zh-CN"/>
        </w:rPr>
        <w:t>合同期内，采购人所属的所有固定站、小型站、监测控制中心和网络机房内的无线电监测设备和附属设施出现不可预见故障或损耗时，由成交人负责维护以使系统整体恢复正常运行。此项维护采用定额包干方式，合同期内成交人承担的“不可预见维护费”不超过50000元。维护费用以市场价或同品质低于市场价的价格为费用标准，维护费用需提供清单依据，每个月确认，每三个月结算一次。</w:t>
      </w:r>
    </w:p>
    <w:p w14:paraId="3AE75BB9">
      <w:pPr>
        <w:ind w:firstLine="640" w:firstLineChars="200"/>
        <w:rPr>
          <w:rFonts w:hint="eastAsia" w:ascii="仿宋_GB2312" w:hAnsi="宋体" w:eastAsia="仿宋_GB2312"/>
          <w:sz w:val="32"/>
          <w:highlight w:val="none"/>
          <w:lang w:eastAsia="zh-CN"/>
        </w:rPr>
      </w:pPr>
      <w:r>
        <w:rPr>
          <w:rFonts w:hint="eastAsia" w:ascii="仿宋_GB2312" w:hAnsi="宋体" w:eastAsia="仿宋_GB2312"/>
          <w:sz w:val="32"/>
          <w:highlight w:val="none"/>
          <w:lang w:eastAsia="zh-CN"/>
        </w:rPr>
        <w:t>所有设备和设施故障的排查定位和处理、搬运、包装、送修以及修复后的设备或设施的搬运、安装、运行测试等相关配套服务产生的一切费用，由成交人负责（其费用包含在投标总价中，不计入成交人承担的50000元的“不可预见维护费”中）。</w:t>
      </w:r>
    </w:p>
    <w:p w14:paraId="7E2B0D39">
      <w:pPr>
        <w:ind w:firstLine="640" w:firstLineChars="200"/>
        <w:rPr>
          <w:rFonts w:hint="eastAsia" w:ascii="仿宋_GB2312" w:hAnsi="宋体" w:eastAsia="仿宋_GB2312"/>
          <w:sz w:val="32"/>
          <w:highlight w:val="none"/>
          <w:lang w:eastAsia="zh-CN"/>
        </w:rPr>
      </w:pPr>
      <w:r>
        <w:rPr>
          <w:rFonts w:hint="eastAsia" w:ascii="仿宋_GB2312" w:hAnsi="宋体" w:eastAsia="仿宋_GB2312"/>
          <w:sz w:val="32"/>
          <w:highlight w:val="none"/>
          <w:lang w:eastAsia="zh-CN"/>
        </w:rPr>
        <w:t>监测控制中心、网络机房中的防火墙、服务器、交换机、路由器、程控交换机出现故障时，成交人应先行提供备用设备或配件（简称“备品备件”）以保证系统整体正常运行，同时依据相应条款进行故障处理。成交人提供的备品备件产权不转移给采购人，备品备件相关费用不计入本次成交费用中。</w:t>
      </w:r>
    </w:p>
    <w:p w14:paraId="5D1CFA78">
      <w:pPr>
        <w:ind w:firstLine="640" w:firstLineChars="200"/>
        <w:rPr>
          <w:rFonts w:hint="eastAsia" w:ascii="仿宋_GB2312" w:hAnsi="宋体" w:eastAsia="仿宋_GB2312"/>
          <w:sz w:val="32"/>
          <w:highlight w:val="none"/>
          <w:lang w:eastAsia="zh-CN"/>
        </w:rPr>
      </w:pPr>
      <w:r>
        <w:rPr>
          <w:rFonts w:hint="eastAsia" w:ascii="仿宋_GB2312" w:hAnsi="宋体" w:eastAsia="仿宋_GB2312"/>
          <w:sz w:val="32"/>
          <w:highlight w:val="none"/>
          <w:lang w:eastAsia="zh-CN"/>
        </w:rPr>
        <w:t>5.2不包含在故障处理范围的情况说明</w:t>
      </w:r>
    </w:p>
    <w:p w14:paraId="6F83F963">
      <w:pPr>
        <w:ind w:firstLine="640" w:firstLineChars="200"/>
        <w:rPr>
          <w:rFonts w:hint="eastAsia" w:ascii="仿宋_GB2312" w:hAnsi="宋体" w:eastAsia="仿宋_GB2312"/>
          <w:sz w:val="32"/>
          <w:highlight w:val="none"/>
          <w:lang w:eastAsia="zh-CN"/>
        </w:rPr>
      </w:pPr>
      <w:r>
        <w:rPr>
          <w:rFonts w:hint="eastAsia" w:ascii="仿宋_GB2312" w:hAnsi="宋体" w:eastAsia="仿宋_GB2312"/>
          <w:sz w:val="32"/>
          <w:highlight w:val="none"/>
          <w:lang w:eastAsia="zh-CN"/>
        </w:rPr>
        <w:t>（1）运行维护期间新购的或仍在原厂保修期内的技术设备，成交人不负责维修。</w:t>
      </w:r>
    </w:p>
    <w:p w14:paraId="5C855C94">
      <w:pPr>
        <w:ind w:firstLine="640" w:firstLineChars="200"/>
        <w:rPr>
          <w:rFonts w:hint="eastAsia" w:ascii="仿宋_GB2312" w:hAnsi="宋体" w:eastAsia="仿宋_GB2312"/>
          <w:sz w:val="32"/>
          <w:highlight w:val="none"/>
          <w:lang w:eastAsia="zh-CN"/>
        </w:rPr>
      </w:pPr>
      <w:r>
        <w:rPr>
          <w:rFonts w:hint="eastAsia" w:ascii="仿宋_GB2312" w:hAnsi="宋体" w:eastAsia="仿宋_GB2312"/>
          <w:sz w:val="32"/>
          <w:highlight w:val="none"/>
          <w:lang w:eastAsia="zh-CN"/>
        </w:rPr>
        <w:t>（2）非成交人原因导致的意外事故（火灾、浸水、交通事故等）造成的大范围设备故障，成交人不负责维修。</w:t>
      </w:r>
    </w:p>
    <w:p w14:paraId="4D63722B">
      <w:pPr>
        <w:numPr>
          <w:ilvl w:val="0"/>
          <w:numId w:val="0"/>
        </w:numPr>
        <w:ind w:leftChars="0" w:firstLine="643" w:firstLineChars="200"/>
        <w:rPr>
          <w:rFonts w:hint="eastAsia" w:ascii="仿宋_GB2312" w:hAnsi="宋体" w:eastAsia="仿宋_GB2312"/>
          <w:b/>
          <w:bCs/>
          <w:sz w:val="32"/>
          <w:lang w:eastAsia="zh-CN"/>
        </w:rPr>
      </w:pPr>
      <w:r>
        <w:rPr>
          <w:rFonts w:hint="eastAsia" w:ascii="仿宋_GB2312" w:hAnsi="宋体" w:eastAsia="仿宋_GB2312"/>
          <w:b/>
          <w:bCs/>
          <w:sz w:val="32"/>
          <w:lang w:eastAsia="zh-CN"/>
        </w:rPr>
        <w:t>6.故障处置响应时效要求</w:t>
      </w:r>
    </w:p>
    <w:p w14:paraId="45DDFB92">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根据故障的严重程度和影响程度的不同，应按照故障等级要求进行故障处理，故障等级分为一级（重大）故障、二级（主要）故障、三级（次要）故障，不同等级故障应在相应时限内处置完成，对应时限要求也应满足国家和省有关监测设施巡检规范中有关故障处理时效要求，如遇特殊情况，经采购人同意后，可对时限进行适当调整。</w:t>
      </w:r>
    </w:p>
    <w:p w14:paraId="2C7E294C">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2）一级（重大）故障指监测设施（如监测测向主设备发生故障无法启动、监测测向天线故障、网络通信中断、供电系统断路等）和相关系统（如工控机故障、系统软件报错无法启动）出现瘫痪，监测测向功能丧失、设施运行中断或关键业务数据丢失等，导致监测系统无法正常运行使用的。一级故障的响应时限应在30分钟内，故障处理方案应在4小时内提交或反馈，业务恢复时限应在24时内。</w:t>
      </w:r>
    </w:p>
    <w:p w14:paraId="08D4FCA3">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3）二级（主要）故障指监测设施和相关系统部分功能出现故障（如监测及测向系统自检设备处于虚拟状态、安防动力环境监控系统发生告警等）、系统性能下降，影响设施正常运行或监测测向结果出现较大误差，以及可能造成设施瘫痪或监测业务中断的重大隐患。二级故障的响应时限应在 2 小时以内，故障处理方案应在8小时内提交或反馈，业务恢复时限应在 48小时。</w:t>
      </w:r>
    </w:p>
    <w:p w14:paraId="4536E544">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4）三级（次要）故障指监测设施和相关系统部分功能和性能受影响（如视频监控系统故障、空调设备故障、防雷设施故障及其他配套设施故障等），但监测业务及其他主要功能仍可正常运行的情况。三级故障的响应时限应在1</w:t>
      </w:r>
      <w:r>
        <w:rPr>
          <w:rFonts w:hint="eastAsia" w:ascii="仿宋_GB2312" w:hAnsi="宋体" w:eastAsia="仿宋_GB2312"/>
          <w:sz w:val="32"/>
          <w:lang w:val="en-US" w:eastAsia="zh-CN"/>
        </w:rPr>
        <w:t>2</w:t>
      </w:r>
      <w:r>
        <w:rPr>
          <w:rFonts w:hint="eastAsia" w:ascii="仿宋_GB2312" w:hAnsi="宋体" w:eastAsia="仿宋_GB2312"/>
          <w:sz w:val="32"/>
          <w:lang w:eastAsia="zh-CN"/>
        </w:rPr>
        <w:t>小时以内，故障处理方案应在24小时内提交或反馈，业务恢复时限应在72小时以内。</w:t>
      </w:r>
    </w:p>
    <w:p w14:paraId="537667AD">
      <w:pPr>
        <w:ind w:firstLine="643" w:firstLineChars="200"/>
        <w:rPr>
          <w:rFonts w:hint="eastAsia" w:ascii="仿宋_GB2312" w:hAnsi="宋体" w:eastAsia="仿宋_GB2312"/>
          <w:b/>
          <w:bCs/>
          <w:sz w:val="32"/>
          <w:lang w:eastAsia="zh-CN"/>
        </w:rPr>
      </w:pPr>
      <w:r>
        <w:rPr>
          <w:rFonts w:hint="eastAsia" w:ascii="仿宋_GB2312" w:hAnsi="宋体" w:eastAsia="仿宋_GB2312"/>
          <w:b/>
          <w:bCs/>
          <w:sz w:val="32"/>
          <w:lang w:eastAsia="zh-CN"/>
        </w:rPr>
        <w:t>7.其他服务</w:t>
      </w:r>
    </w:p>
    <w:p w14:paraId="290796D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宋体" w:eastAsia="仿宋_GB2312"/>
          <w:sz w:val="32"/>
          <w:lang w:eastAsia="zh-CN"/>
        </w:rPr>
      </w:pPr>
      <w:r>
        <w:rPr>
          <w:rFonts w:hint="eastAsia" w:ascii="仿宋_GB2312" w:hAnsi="宋体" w:eastAsia="仿宋_GB2312"/>
          <w:sz w:val="32"/>
          <w:lang w:eastAsia="zh-CN"/>
        </w:rPr>
        <w:t>（1）现场随工服务。运维服务期内根据采购人实际工作需求，配合采购人到监测站点现场进行随工，随工内容包括站点更新改造、设备扩容、施工以及委托第三方处理业务设备故障等情况。</w:t>
      </w:r>
    </w:p>
    <w:p w14:paraId="3B90466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宋体" w:eastAsia="仿宋_GB2312"/>
          <w:sz w:val="32"/>
          <w:lang w:eastAsia="zh-CN"/>
        </w:rPr>
      </w:pPr>
      <w:r>
        <w:rPr>
          <w:rFonts w:hint="eastAsia" w:ascii="仿宋_GB2312" w:hAnsi="宋体" w:eastAsia="仿宋_GB2312"/>
          <w:sz w:val="32"/>
          <w:lang w:eastAsia="zh-CN"/>
        </w:rPr>
        <w:t>（2）配合测试验证工作。运维服务期内根据采购人实际工作需求，前往测试场地配合采购人对即将进行测试验证的监测系统进行搭建和调试。</w:t>
      </w:r>
    </w:p>
    <w:p w14:paraId="5004C4B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宋体" w:eastAsia="仿宋_GB2312"/>
          <w:sz w:val="32"/>
          <w:lang w:eastAsia="zh-CN"/>
        </w:rPr>
      </w:pPr>
      <w:r>
        <w:rPr>
          <w:rFonts w:hint="eastAsia" w:ascii="仿宋_GB2312" w:hAnsi="宋体" w:eastAsia="仿宋_GB2312"/>
          <w:sz w:val="32"/>
          <w:lang w:eastAsia="zh-CN"/>
        </w:rPr>
        <w:t>（3）天线拆装服务。运维服务期内根据采购人实际工作需求，免费提供天线拆装服务。</w:t>
      </w:r>
    </w:p>
    <w:p w14:paraId="36F9CEE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宋体" w:eastAsia="仿宋_GB2312"/>
          <w:sz w:val="32"/>
          <w:lang w:val="en-US" w:eastAsia="zh-CN"/>
        </w:rPr>
      </w:pPr>
      <w:r>
        <w:rPr>
          <w:rFonts w:hint="eastAsia" w:ascii="仿宋_GB2312" w:hAnsi="宋体" w:eastAsia="仿宋_GB2312"/>
          <w:sz w:val="32"/>
          <w:lang w:val="en-US" w:eastAsia="zh-CN"/>
        </w:rPr>
        <w:t>（4）站点选址工作。运维服务器内根据采购人实际工作需求，免费提供站点选址服务。</w:t>
      </w:r>
    </w:p>
    <w:p w14:paraId="571473B9">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textAlignment w:val="auto"/>
        <w:rPr>
          <w:rFonts w:hint="eastAsia" w:ascii="仿宋_GB2312" w:hAnsi="宋体" w:eastAsia="仿宋_GB2312"/>
          <w:sz w:val="32"/>
          <w:lang w:eastAsia="zh-CN"/>
        </w:rPr>
      </w:pPr>
      <w:r>
        <w:rPr>
          <w:rFonts w:hint="eastAsia" w:ascii="仿宋_GB2312" w:hAnsi="宋体" w:eastAsia="仿宋_GB2312"/>
          <w:b/>
          <w:bCs/>
          <w:sz w:val="32"/>
          <w:lang w:val="en-US" w:eastAsia="zh-CN"/>
        </w:rPr>
        <w:t>8</w:t>
      </w:r>
      <w:r>
        <w:rPr>
          <w:rFonts w:hint="eastAsia" w:ascii="仿宋_GB2312" w:hAnsi="宋体" w:eastAsia="仿宋_GB2312"/>
          <w:b/>
          <w:bCs/>
          <w:sz w:val="32"/>
          <w:lang w:eastAsia="zh-CN"/>
        </w:rPr>
        <w:t>.服务响应要求</w:t>
      </w:r>
    </w:p>
    <w:p w14:paraId="4C4A4EE5">
      <w:pPr>
        <w:ind w:firstLine="640" w:firstLineChars="200"/>
        <w:rPr>
          <w:rFonts w:hint="eastAsia" w:ascii="仿宋_GB2312" w:hAnsi="宋体" w:eastAsia="仿宋_GB2312"/>
          <w:color w:val="auto"/>
          <w:sz w:val="32"/>
          <w:lang w:eastAsia="zh-CN"/>
        </w:rPr>
      </w:pPr>
      <w:r>
        <w:rPr>
          <w:rFonts w:hint="eastAsia" w:ascii="仿宋_GB2312" w:hAnsi="宋体" w:eastAsia="仿宋_GB2312"/>
          <w:sz w:val="32"/>
          <w:lang w:val="en-US" w:eastAsia="zh-CN"/>
        </w:rPr>
        <w:t>8</w:t>
      </w:r>
      <w:r>
        <w:rPr>
          <w:rFonts w:hint="eastAsia" w:ascii="仿宋_GB2312" w:hAnsi="宋体" w:eastAsia="仿宋_GB2312"/>
          <w:sz w:val="32"/>
          <w:lang w:eastAsia="zh-CN"/>
        </w:rPr>
        <w:t>.1</w:t>
      </w:r>
      <w:r>
        <w:rPr>
          <w:rFonts w:hint="eastAsia" w:ascii="仿宋_GB2312" w:hAnsi="宋体" w:eastAsia="仿宋_GB2312"/>
          <w:color w:val="auto"/>
          <w:sz w:val="32"/>
          <w:lang w:eastAsia="zh-CN"/>
        </w:rPr>
        <w:t>成交人须对照行业标准，针对代维内容制定相应的项目技术服务实施方案书；</w:t>
      </w:r>
    </w:p>
    <w:p w14:paraId="0F7B40DD">
      <w:pPr>
        <w:ind w:firstLine="640" w:firstLineChars="200"/>
        <w:rPr>
          <w:rFonts w:hint="eastAsia" w:ascii="仿宋_GB2312" w:hAnsi="宋体" w:eastAsia="仿宋_GB2312"/>
          <w:color w:val="auto"/>
          <w:sz w:val="32"/>
          <w:lang w:eastAsia="zh-CN"/>
        </w:rPr>
      </w:pPr>
      <w:r>
        <w:rPr>
          <w:rFonts w:hint="eastAsia" w:ascii="仿宋_GB2312" w:hAnsi="宋体" w:eastAsia="仿宋_GB2312"/>
          <w:color w:val="auto"/>
          <w:sz w:val="32"/>
          <w:lang w:val="en-US" w:eastAsia="zh-CN"/>
        </w:rPr>
        <w:t>8</w:t>
      </w:r>
      <w:r>
        <w:rPr>
          <w:rFonts w:hint="eastAsia" w:ascii="仿宋_GB2312" w:hAnsi="宋体" w:eastAsia="仿宋_GB2312"/>
          <w:color w:val="auto"/>
          <w:sz w:val="32"/>
          <w:lang w:eastAsia="zh-CN"/>
        </w:rPr>
        <w:t>.2成交人对每项代维维护内容须建立维护档案，所有维护活动均应该有相应的记录；</w:t>
      </w:r>
    </w:p>
    <w:p w14:paraId="2EDF254E">
      <w:pPr>
        <w:ind w:firstLine="640" w:firstLineChars="200"/>
        <w:rPr>
          <w:rFonts w:hint="eastAsia" w:ascii="仿宋_GB2312" w:hAnsi="宋体" w:eastAsia="仿宋_GB2312"/>
          <w:sz w:val="32"/>
          <w:lang w:eastAsia="zh-CN"/>
        </w:rPr>
      </w:pPr>
      <w:r>
        <w:rPr>
          <w:rFonts w:hint="eastAsia" w:ascii="仿宋_GB2312" w:hAnsi="宋体" w:eastAsia="仿宋_GB2312"/>
          <w:color w:val="auto"/>
          <w:sz w:val="32"/>
          <w:lang w:val="en-US" w:eastAsia="zh-CN"/>
        </w:rPr>
        <w:t>8</w:t>
      </w:r>
      <w:r>
        <w:rPr>
          <w:rFonts w:hint="eastAsia" w:ascii="仿宋_GB2312" w:hAnsi="宋体" w:eastAsia="仿宋_GB2312"/>
          <w:color w:val="auto"/>
          <w:sz w:val="32"/>
          <w:lang w:eastAsia="zh-CN"/>
        </w:rPr>
        <w:t>.3成交人须承</w:t>
      </w:r>
      <w:r>
        <w:rPr>
          <w:rFonts w:hint="eastAsia" w:ascii="仿宋_GB2312" w:hAnsi="宋体" w:eastAsia="仿宋_GB2312"/>
          <w:sz w:val="32"/>
          <w:lang w:eastAsia="zh-CN"/>
        </w:rPr>
        <w:t>诺中标后将与采购人签订相关保密协议，并在开展维护工作中，保证采购人的网络、数据的安全，并保守采购人的网络、系统、数据和业务的秘密；</w:t>
      </w:r>
    </w:p>
    <w:p w14:paraId="5B2D2672">
      <w:pPr>
        <w:ind w:firstLine="640" w:firstLineChars="200"/>
        <w:rPr>
          <w:rFonts w:hint="eastAsia" w:ascii="仿宋_GB2312" w:hAnsi="宋体" w:eastAsia="仿宋_GB2312"/>
          <w:color w:val="auto"/>
          <w:sz w:val="32"/>
          <w:lang w:eastAsia="zh-CN"/>
        </w:rPr>
      </w:pPr>
      <w:r>
        <w:rPr>
          <w:rFonts w:hint="eastAsia" w:ascii="仿宋_GB2312" w:hAnsi="宋体" w:eastAsia="仿宋_GB2312"/>
          <w:sz w:val="32"/>
          <w:lang w:val="en-US" w:eastAsia="zh-CN"/>
        </w:rPr>
        <w:t>8</w:t>
      </w:r>
      <w:r>
        <w:rPr>
          <w:rFonts w:hint="eastAsia" w:ascii="仿宋_GB2312" w:hAnsi="宋体" w:eastAsia="仿宋_GB2312"/>
          <w:sz w:val="32"/>
          <w:lang w:eastAsia="zh-CN"/>
        </w:rPr>
        <w:t>.4</w:t>
      </w:r>
      <w:r>
        <w:rPr>
          <w:rFonts w:hint="eastAsia" w:ascii="仿宋_GB2312" w:hAnsi="宋体" w:eastAsia="仿宋_GB2312"/>
          <w:color w:val="auto"/>
          <w:sz w:val="32"/>
          <w:lang w:eastAsia="zh-CN"/>
        </w:rPr>
        <w:t>成交人有义务对采购人使用的所有设备及系统的运行情况提出优化、升级等合理化建议及方案；</w:t>
      </w:r>
    </w:p>
    <w:p w14:paraId="5707D7E5">
      <w:pPr>
        <w:ind w:firstLine="640" w:firstLineChars="200"/>
        <w:rPr>
          <w:rFonts w:hint="eastAsia" w:ascii="仿宋_GB2312" w:hAnsi="宋体" w:eastAsia="仿宋_GB2312"/>
          <w:color w:val="auto"/>
          <w:sz w:val="32"/>
          <w:lang w:eastAsia="zh-CN"/>
        </w:rPr>
      </w:pPr>
      <w:r>
        <w:rPr>
          <w:rFonts w:hint="eastAsia" w:ascii="仿宋_GB2312" w:hAnsi="宋体" w:eastAsia="仿宋_GB2312"/>
          <w:color w:val="auto"/>
          <w:sz w:val="32"/>
          <w:lang w:val="en-US" w:eastAsia="zh-CN"/>
        </w:rPr>
        <w:t>8</w:t>
      </w:r>
      <w:r>
        <w:rPr>
          <w:rFonts w:hint="eastAsia" w:ascii="仿宋_GB2312" w:hAnsi="宋体" w:eastAsia="仿宋_GB2312"/>
          <w:color w:val="auto"/>
          <w:sz w:val="32"/>
          <w:lang w:eastAsia="zh-CN"/>
        </w:rPr>
        <w:t>.5维护期间对系统所有相关操作，包括：系统的安装、配置、硬件更换、软件升级等工作，必须经采购人同意并签字确认后方可实施；</w:t>
      </w:r>
    </w:p>
    <w:p w14:paraId="4485E8F4">
      <w:pPr>
        <w:ind w:firstLine="640" w:firstLineChars="200"/>
        <w:rPr>
          <w:rFonts w:hint="eastAsia" w:ascii="仿宋_GB2312" w:hAnsi="宋体" w:eastAsia="仿宋_GB2312"/>
          <w:color w:val="auto"/>
          <w:sz w:val="32"/>
          <w:lang w:eastAsia="zh-CN"/>
        </w:rPr>
      </w:pPr>
      <w:r>
        <w:rPr>
          <w:rFonts w:hint="eastAsia" w:ascii="仿宋_GB2312" w:hAnsi="宋体" w:eastAsia="仿宋_GB2312"/>
          <w:color w:val="auto"/>
          <w:sz w:val="32"/>
          <w:lang w:val="en-US" w:eastAsia="zh-CN"/>
        </w:rPr>
        <w:t>8</w:t>
      </w:r>
      <w:r>
        <w:rPr>
          <w:rFonts w:hint="eastAsia" w:ascii="仿宋_GB2312" w:hAnsi="宋体" w:eastAsia="仿宋_GB2312"/>
          <w:color w:val="auto"/>
          <w:sz w:val="32"/>
          <w:lang w:eastAsia="zh-CN"/>
        </w:rPr>
        <w:t>.6更换下的元器件和设备产权归采购人所有，成交人不得以任何理由带走；</w:t>
      </w:r>
    </w:p>
    <w:p w14:paraId="5EFC48E4">
      <w:pPr>
        <w:ind w:firstLine="640" w:firstLineChars="200"/>
        <w:rPr>
          <w:rFonts w:hint="eastAsia" w:ascii="仿宋_GB2312" w:hAnsi="宋体" w:eastAsia="仿宋_GB2312"/>
          <w:sz w:val="32"/>
          <w:lang w:eastAsia="zh-CN"/>
        </w:rPr>
      </w:pPr>
      <w:r>
        <w:rPr>
          <w:rFonts w:hint="eastAsia" w:ascii="仿宋_GB2312" w:hAnsi="宋体" w:eastAsia="仿宋_GB2312"/>
          <w:color w:val="auto"/>
          <w:sz w:val="32"/>
          <w:lang w:val="en-US" w:eastAsia="zh-CN"/>
        </w:rPr>
        <w:t>8</w:t>
      </w:r>
      <w:r>
        <w:rPr>
          <w:rFonts w:hint="eastAsia" w:ascii="仿宋_GB2312" w:hAnsi="宋体" w:eastAsia="仿宋_GB2312"/>
          <w:color w:val="auto"/>
          <w:sz w:val="32"/>
          <w:lang w:eastAsia="zh-CN"/>
        </w:rPr>
        <w:t>.7成交人应严格按照所制定的维护制度和操作规程实施维护工作，并有完整的记录档</w:t>
      </w:r>
      <w:r>
        <w:rPr>
          <w:rFonts w:hint="eastAsia" w:ascii="仿宋_GB2312" w:hAnsi="宋体" w:eastAsia="仿宋_GB2312"/>
          <w:sz w:val="32"/>
          <w:lang w:eastAsia="zh-CN"/>
        </w:rPr>
        <w:t>案。 </w:t>
      </w:r>
    </w:p>
    <w:p w14:paraId="58389196">
      <w:pPr>
        <w:rPr>
          <w:rFonts w:hint="eastAsia" w:ascii="黑体" w:hAnsi="黑体" w:eastAsia="黑体" w:cs="黑体"/>
          <w:b/>
          <w:bCs/>
          <w:sz w:val="32"/>
          <w:lang w:eastAsia="zh-CN"/>
        </w:rPr>
      </w:pPr>
      <w:r>
        <w:rPr>
          <w:rFonts w:hint="eastAsia" w:ascii="黑体" w:hAnsi="黑体" w:eastAsia="黑体" w:cs="黑体"/>
          <w:b/>
          <w:bCs/>
          <w:sz w:val="32"/>
          <w:lang w:eastAsia="zh-CN"/>
        </w:rPr>
        <w:t>三、商务条件</w:t>
      </w:r>
    </w:p>
    <w:p w14:paraId="153266EF">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1、交付地点：采购人指定地点</w:t>
      </w:r>
    </w:p>
    <w:p w14:paraId="4982A9A6">
      <w:pPr>
        <w:ind w:firstLine="640" w:firstLineChars="200"/>
        <w:rPr>
          <w:rFonts w:hint="eastAsia" w:ascii="仿宋_GB2312" w:hAnsi="宋体" w:eastAsia="仿宋_GB2312"/>
          <w:sz w:val="32"/>
          <w:highlight w:val="none"/>
          <w:lang w:eastAsia="zh-CN"/>
        </w:rPr>
      </w:pPr>
      <w:r>
        <w:rPr>
          <w:rFonts w:hint="eastAsia" w:ascii="仿宋_GB2312" w:hAnsi="宋体" w:eastAsia="仿宋_GB2312"/>
          <w:sz w:val="32"/>
          <w:lang w:eastAsia="zh-CN"/>
        </w:rPr>
        <w:t>2、交付时间：</w:t>
      </w:r>
      <w:r>
        <w:rPr>
          <w:rFonts w:hint="eastAsia" w:ascii="仿宋_GB2312" w:hAnsi="宋体" w:eastAsia="仿宋_GB2312"/>
          <w:sz w:val="32"/>
          <w:highlight w:val="none"/>
          <w:lang w:eastAsia="zh-CN"/>
        </w:rPr>
        <w:t>合同签定后自202</w:t>
      </w:r>
      <w:r>
        <w:rPr>
          <w:rFonts w:hint="eastAsia" w:ascii="仿宋_GB2312" w:hAnsi="宋体" w:eastAsia="仿宋_GB2312"/>
          <w:sz w:val="32"/>
          <w:highlight w:val="none"/>
          <w:lang w:val="en-US" w:eastAsia="zh-CN"/>
        </w:rPr>
        <w:t>4</w:t>
      </w:r>
      <w:r>
        <w:rPr>
          <w:rFonts w:hint="eastAsia" w:ascii="仿宋_GB2312" w:hAnsi="宋体" w:eastAsia="仿宋_GB2312"/>
          <w:sz w:val="32"/>
          <w:highlight w:val="none"/>
          <w:lang w:eastAsia="zh-CN"/>
        </w:rPr>
        <w:t>年</w:t>
      </w:r>
      <w:r>
        <w:rPr>
          <w:rFonts w:hint="eastAsia" w:ascii="仿宋_GB2312" w:hAnsi="宋体" w:eastAsia="仿宋_GB2312"/>
          <w:sz w:val="32"/>
          <w:highlight w:val="none"/>
          <w:lang w:val="en-US" w:eastAsia="zh-CN"/>
        </w:rPr>
        <w:t>6</w:t>
      </w:r>
      <w:r>
        <w:rPr>
          <w:rFonts w:hint="eastAsia" w:ascii="仿宋_GB2312" w:hAnsi="宋体" w:eastAsia="仿宋_GB2312"/>
          <w:sz w:val="32"/>
          <w:highlight w:val="none"/>
          <w:lang w:eastAsia="zh-CN"/>
        </w:rPr>
        <w:t>月</w:t>
      </w:r>
      <w:r>
        <w:rPr>
          <w:rFonts w:hint="eastAsia" w:ascii="仿宋_GB2312" w:hAnsi="宋体" w:eastAsia="仿宋_GB2312"/>
          <w:sz w:val="32"/>
          <w:highlight w:val="none"/>
          <w:lang w:val="en-US" w:eastAsia="zh-CN"/>
        </w:rPr>
        <w:t>1</w:t>
      </w:r>
      <w:r>
        <w:rPr>
          <w:rFonts w:hint="eastAsia" w:ascii="仿宋_GB2312" w:hAnsi="宋体" w:eastAsia="仿宋_GB2312"/>
          <w:sz w:val="32"/>
          <w:highlight w:val="none"/>
          <w:lang w:eastAsia="zh-CN"/>
        </w:rPr>
        <w:t>日起至202</w:t>
      </w:r>
      <w:r>
        <w:rPr>
          <w:rFonts w:hint="eastAsia" w:ascii="仿宋_GB2312" w:hAnsi="宋体" w:eastAsia="仿宋_GB2312"/>
          <w:sz w:val="32"/>
          <w:highlight w:val="none"/>
          <w:lang w:val="en-US" w:eastAsia="zh-CN"/>
        </w:rPr>
        <w:t>5</w:t>
      </w:r>
      <w:r>
        <w:rPr>
          <w:rFonts w:hint="eastAsia" w:ascii="仿宋_GB2312" w:hAnsi="宋体" w:eastAsia="仿宋_GB2312"/>
          <w:sz w:val="32"/>
          <w:highlight w:val="none"/>
          <w:lang w:eastAsia="zh-CN"/>
        </w:rPr>
        <w:t>年5月31日止</w:t>
      </w:r>
    </w:p>
    <w:p w14:paraId="550D2A8E">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3、交付条件：经采购人验收合格</w:t>
      </w:r>
    </w:p>
    <w:p w14:paraId="4FF01DE6">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4、是否收取履约保证金：否</w:t>
      </w:r>
    </w:p>
    <w:p w14:paraId="0689EE9E">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5、是否邀请投标人参与验收：否</w:t>
      </w:r>
    </w:p>
    <w:p w14:paraId="690B0B34">
      <w:pPr>
        <w:ind w:firstLine="640" w:firstLineChars="200"/>
        <w:rPr>
          <w:rFonts w:hint="eastAsia"/>
          <w:lang w:eastAsia="zh-CN"/>
        </w:rPr>
      </w:pPr>
      <w:r>
        <w:rPr>
          <w:rFonts w:hint="eastAsia" w:ascii="仿宋_GB2312" w:hAnsi="宋体" w:eastAsia="仿宋_GB2312"/>
          <w:sz w:val="32"/>
          <w:lang w:eastAsia="zh-CN"/>
        </w:rPr>
        <w:t>6、验收方式数据表格</w:t>
      </w:r>
    </w:p>
    <w:tbl>
      <w:tblPr>
        <w:tblStyle w:val="6"/>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93"/>
        <w:gridCol w:w="7340"/>
      </w:tblGrid>
      <w:tr w14:paraId="21B95B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96" w:type="pct"/>
            <w:tcBorders>
              <w:top w:val="outset" w:color="auto" w:sz="6" w:space="0"/>
              <w:left w:val="outset" w:color="auto" w:sz="6" w:space="0"/>
              <w:bottom w:val="outset" w:color="auto" w:sz="6" w:space="0"/>
              <w:right w:val="outset" w:color="auto" w:sz="6" w:space="0"/>
            </w:tcBorders>
            <w:shd w:val="clear" w:color="auto" w:fill="auto"/>
            <w:vAlign w:val="center"/>
          </w:tcPr>
          <w:p w14:paraId="3B5E34F9">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验收期次</w:t>
            </w:r>
          </w:p>
        </w:tc>
        <w:tc>
          <w:tcPr>
            <w:tcW w:w="4403" w:type="pct"/>
            <w:tcBorders>
              <w:top w:val="outset" w:color="auto" w:sz="6" w:space="0"/>
              <w:left w:val="outset" w:color="auto" w:sz="6" w:space="0"/>
              <w:bottom w:val="outset" w:color="auto" w:sz="6" w:space="0"/>
              <w:right w:val="outset" w:color="auto" w:sz="6" w:space="0"/>
            </w:tcBorders>
            <w:shd w:val="clear" w:color="auto" w:fill="auto"/>
            <w:vAlign w:val="center"/>
          </w:tcPr>
          <w:p w14:paraId="0F770563">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验收期次说明</w:t>
            </w:r>
          </w:p>
        </w:tc>
      </w:tr>
      <w:tr w14:paraId="2F9A44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96" w:type="pct"/>
            <w:tcBorders>
              <w:top w:val="outset" w:color="auto" w:sz="6" w:space="0"/>
              <w:left w:val="outset" w:color="auto" w:sz="6" w:space="0"/>
              <w:bottom w:val="outset" w:color="auto" w:sz="6" w:space="0"/>
              <w:right w:val="outset" w:color="auto" w:sz="6" w:space="0"/>
            </w:tcBorders>
            <w:shd w:val="clear" w:color="auto" w:fill="auto"/>
            <w:vAlign w:val="center"/>
          </w:tcPr>
          <w:p w14:paraId="22B41E2A">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4403" w:type="pct"/>
            <w:tcBorders>
              <w:top w:val="outset" w:color="auto" w:sz="6" w:space="0"/>
              <w:left w:val="outset" w:color="auto" w:sz="6" w:space="0"/>
              <w:bottom w:val="outset" w:color="auto" w:sz="6" w:space="0"/>
              <w:right w:val="outset" w:color="auto" w:sz="6" w:space="0"/>
            </w:tcBorders>
            <w:shd w:val="clear" w:color="auto" w:fill="auto"/>
            <w:vAlign w:val="center"/>
          </w:tcPr>
          <w:p w14:paraId="0B3DD1B4">
            <w:pPr>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根据代维服务管理考核办法</w:t>
            </w:r>
            <w:r>
              <w:rPr>
                <w:rFonts w:hint="eastAsia" w:asciiTheme="minorEastAsia" w:hAnsiTheme="minorEastAsia" w:cstheme="minorEastAsia"/>
                <w:sz w:val="24"/>
                <w:szCs w:val="24"/>
                <w:highlight w:val="none"/>
                <w:lang w:eastAsia="zh-CN"/>
              </w:rPr>
              <w:t>（附件三）</w:t>
            </w:r>
            <w:r>
              <w:rPr>
                <w:rFonts w:hint="eastAsia" w:asciiTheme="minorEastAsia" w:hAnsiTheme="minorEastAsia" w:eastAsiaTheme="minorEastAsia" w:cstheme="minorEastAsia"/>
                <w:sz w:val="24"/>
                <w:szCs w:val="24"/>
                <w:highlight w:val="none"/>
                <w:lang w:eastAsia="zh-CN"/>
              </w:rPr>
              <w:t>进行考核。</w:t>
            </w:r>
            <w:r>
              <w:rPr>
                <w:rFonts w:hint="eastAsia" w:asciiTheme="minorEastAsia" w:hAnsiTheme="minorEastAsia" w:eastAsiaTheme="minorEastAsia" w:cstheme="minorEastAsia"/>
                <w:sz w:val="24"/>
                <w:szCs w:val="24"/>
                <w:highlight w:val="none"/>
                <w:lang w:val="en-US" w:eastAsia="zh-CN"/>
              </w:rPr>
              <w:t>202</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val="en-US" w:eastAsia="zh-CN"/>
              </w:rPr>
              <w:t>年第</w:t>
            </w:r>
            <w:r>
              <w:rPr>
                <w:rFonts w:hint="eastAsia" w:asciiTheme="minorEastAsia" w:hAnsi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lang w:val="en-US" w:eastAsia="zh-CN"/>
              </w:rPr>
              <w:t>季度末</w:t>
            </w:r>
            <w:r>
              <w:rPr>
                <w:rFonts w:hint="eastAsia" w:asciiTheme="minorEastAsia" w:hAnsiTheme="minorEastAsia" w:eastAsiaTheme="minorEastAsia" w:cstheme="minorEastAsia"/>
                <w:sz w:val="24"/>
                <w:szCs w:val="24"/>
                <w:highlight w:val="none"/>
                <w:lang w:eastAsia="zh-CN"/>
              </w:rPr>
              <w:t>考核得分在80分以上（含80分）为考核合格</w:t>
            </w:r>
          </w:p>
        </w:tc>
      </w:tr>
      <w:tr w14:paraId="00B5FD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96" w:type="pct"/>
            <w:tcBorders>
              <w:top w:val="outset" w:color="auto" w:sz="6" w:space="0"/>
              <w:left w:val="outset" w:color="auto" w:sz="6" w:space="0"/>
              <w:bottom w:val="outset" w:color="auto" w:sz="6" w:space="0"/>
              <w:right w:val="outset" w:color="auto" w:sz="6" w:space="0"/>
            </w:tcBorders>
            <w:shd w:val="clear" w:color="auto" w:fill="auto"/>
            <w:vAlign w:val="center"/>
          </w:tcPr>
          <w:p w14:paraId="7DE8A07D">
            <w:pPr>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4403" w:type="pct"/>
            <w:tcBorders>
              <w:top w:val="outset" w:color="auto" w:sz="6" w:space="0"/>
              <w:left w:val="outset" w:color="auto" w:sz="6" w:space="0"/>
              <w:bottom w:val="outset" w:color="auto" w:sz="6" w:space="0"/>
              <w:right w:val="outset" w:color="auto" w:sz="6" w:space="0"/>
            </w:tcBorders>
            <w:shd w:val="clear" w:color="auto" w:fill="auto"/>
            <w:vAlign w:val="center"/>
          </w:tcPr>
          <w:p w14:paraId="41B3EE0A">
            <w:pPr>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根据代维服务管理考核办法进行考核。</w:t>
            </w:r>
            <w:r>
              <w:rPr>
                <w:rFonts w:hint="eastAsia" w:asciiTheme="minorEastAsia" w:hAnsiTheme="minorEastAsia" w:eastAsiaTheme="minorEastAsia" w:cstheme="minorEastAsia"/>
                <w:sz w:val="24"/>
                <w:szCs w:val="24"/>
                <w:highlight w:val="none"/>
                <w:lang w:val="en-US" w:eastAsia="zh-CN"/>
              </w:rPr>
              <w:t>202</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val="en-US" w:eastAsia="zh-CN"/>
              </w:rPr>
              <w:t>年第</w:t>
            </w:r>
            <w:r>
              <w:rPr>
                <w:rFonts w:hint="eastAsia" w:asciiTheme="minorEastAsia" w:hAnsi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lang w:val="en-US" w:eastAsia="zh-CN"/>
              </w:rPr>
              <w:t>季度末</w:t>
            </w:r>
            <w:r>
              <w:rPr>
                <w:rFonts w:hint="eastAsia" w:asciiTheme="minorEastAsia" w:hAnsiTheme="minorEastAsia" w:eastAsiaTheme="minorEastAsia" w:cstheme="minorEastAsia"/>
                <w:sz w:val="24"/>
                <w:szCs w:val="24"/>
                <w:highlight w:val="none"/>
                <w:lang w:eastAsia="zh-CN"/>
              </w:rPr>
              <w:t>考核得分在80分以上（含80分）为考核合格</w:t>
            </w:r>
          </w:p>
        </w:tc>
      </w:tr>
      <w:tr w14:paraId="3C3CDD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96" w:type="pct"/>
            <w:tcBorders>
              <w:top w:val="outset" w:color="auto" w:sz="6" w:space="0"/>
              <w:left w:val="outset" w:color="auto" w:sz="6" w:space="0"/>
              <w:bottom w:val="outset" w:color="auto" w:sz="6" w:space="0"/>
              <w:right w:val="outset" w:color="auto" w:sz="6" w:space="0"/>
            </w:tcBorders>
            <w:shd w:val="clear" w:color="auto" w:fill="auto"/>
            <w:vAlign w:val="center"/>
          </w:tcPr>
          <w:p w14:paraId="06EC4D10">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403" w:type="pct"/>
            <w:tcBorders>
              <w:top w:val="outset" w:color="auto" w:sz="6" w:space="0"/>
              <w:left w:val="outset" w:color="auto" w:sz="6" w:space="0"/>
              <w:bottom w:val="outset" w:color="auto" w:sz="6" w:space="0"/>
              <w:right w:val="outset" w:color="auto" w:sz="6" w:space="0"/>
            </w:tcBorders>
            <w:shd w:val="clear" w:color="auto" w:fill="auto"/>
            <w:vAlign w:val="center"/>
          </w:tcPr>
          <w:p w14:paraId="3004C0AF">
            <w:pPr>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根据代维服务管理考核办法进行考核。</w:t>
            </w:r>
            <w:r>
              <w:rPr>
                <w:rFonts w:hint="eastAsia" w:asciiTheme="minorEastAsia" w:hAnsiTheme="minorEastAsia" w:eastAsiaTheme="minorEastAsia" w:cstheme="minorEastAsia"/>
                <w:sz w:val="24"/>
                <w:szCs w:val="24"/>
                <w:highlight w:val="none"/>
                <w:lang w:val="en-US" w:eastAsia="zh-CN"/>
              </w:rPr>
              <w:t>202</w:t>
            </w: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en-US" w:eastAsia="zh-CN"/>
              </w:rPr>
              <w:t>年第</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lang w:eastAsia="zh-CN"/>
              </w:rPr>
              <w:t>季度末考核得分在80分以上（含80分）为考核合格</w:t>
            </w:r>
          </w:p>
        </w:tc>
      </w:tr>
    </w:tbl>
    <w:p w14:paraId="553BF732">
      <w:pPr>
        <w:ind w:firstLine="640" w:firstLineChars="200"/>
        <w:rPr>
          <w:rFonts w:hint="default" w:ascii="仿宋_GB2312" w:hAnsi="宋体" w:eastAsia="仿宋_GB2312"/>
          <w:sz w:val="32"/>
          <w:lang w:val="en-US" w:eastAsia="zh-CN"/>
        </w:rPr>
      </w:pPr>
      <w:r>
        <w:rPr>
          <w:rFonts w:hint="eastAsia" w:ascii="仿宋_GB2312" w:hAnsi="宋体" w:eastAsia="仿宋_GB2312"/>
          <w:sz w:val="32"/>
          <w:lang w:eastAsia="zh-CN"/>
        </w:rPr>
        <w:t>代维服务管理考核办法</w:t>
      </w:r>
      <w:r>
        <w:rPr>
          <w:rFonts w:hint="eastAsia" w:ascii="仿宋_GB2312" w:hAnsi="宋体" w:eastAsia="仿宋_GB2312"/>
          <w:sz w:val="32"/>
          <w:lang w:val="en-US" w:eastAsia="zh-CN"/>
        </w:rPr>
        <w:t>详见附件二。</w:t>
      </w:r>
    </w:p>
    <w:p w14:paraId="4D1AA836">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7、支付方式数据表格</w:t>
      </w:r>
    </w:p>
    <w:tbl>
      <w:tblPr>
        <w:tblStyle w:val="6"/>
        <w:tblW w:w="5000"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6"/>
        <w:gridCol w:w="1668"/>
        <w:gridCol w:w="5002"/>
      </w:tblGrid>
      <w:tr w14:paraId="0B0322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14:paraId="6423DAB5">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1FD7572D">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支付比例(%)</w:t>
            </w:r>
          </w:p>
        </w:tc>
        <w:tc>
          <w:tcPr>
            <w:tcW w:w="2999" w:type="pct"/>
            <w:tcBorders>
              <w:top w:val="outset" w:color="auto" w:sz="6" w:space="0"/>
              <w:left w:val="outset" w:color="auto" w:sz="6" w:space="0"/>
              <w:bottom w:val="outset" w:color="auto" w:sz="6" w:space="0"/>
              <w:right w:val="outset" w:color="auto" w:sz="6" w:space="0"/>
            </w:tcBorders>
            <w:shd w:val="clear" w:color="auto" w:fill="auto"/>
            <w:vAlign w:val="center"/>
          </w:tcPr>
          <w:p w14:paraId="22EE5029">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支付期次说明</w:t>
            </w:r>
          </w:p>
        </w:tc>
      </w:tr>
      <w:tr w14:paraId="13AF19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14:paraId="69C3B897">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23ED312F">
            <w:pPr>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w:t>
            </w:r>
          </w:p>
        </w:tc>
        <w:tc>
          <w:tcPr>
            <w:tcW w:w="2999" w:type="pct"/>
            <w:tcBorders>
              <w:top w:val="outset" w:color="auto" w:sz="6" w:space="0"/>
              <w:left w:val="outset" w:color="auto" w:sz="6" w:space="0"/>
              <w:bottom w:val="outset" w:color="auto" w:sz="6" w:space="0"/>
              <w:right w:val="outset" w:color="auto" w:sz="6" w:space="0"/>
            </w:tcBorders>
            <w:shd w:val="clear" w:color="auto" w:fill="auto"/>
            <w:vAlign w:val="center"/>
          </w:tcPr>
          <w:p w14:paraId="322BC840">
            <w:pPr>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202</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val="en-US" w:eastAsia="zh-CN"/>
              </w:rPr>
              <w:t>年第</w:t>
            </w:r>
            <w:r>
              <w:rPr>
                <w:rFonts w:hint="eastAsia" w:asciiTheme="minorEastAsia" w:hAnsi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lang w:val="en-US" w:eastAsia="zh-CN"/>
              </w:rPr>
              <w:t>季度</w:t>
            </w:r>
            <w:r>
              <w:rPr>
                <w:rFonts w:hint="eastAsia" w:asciiTheme="minorEastAsia" w:hAnsiTheme="minorEastAsia" w:eastAsiaTheme="minorEastAsia" w:cstheme="minorEastAsia"/>
                <w:sz w:val="24"/>
                <w:szCs w:val="24"/>
                <w:highlight w:val="none"/>
                <w:lang w:eastAsia="zh-CN"/>
              </w:rPr>
              <w:t>考核合格后，支付</w:t>
            </w:r>
            <w:r>
              <w:rPr>
                <w:rFonts w:hint="eastAsia" w:asciiTheme="minorEastAsia" w:hAnsi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lang w:eastAsia="zh-CN"/>
              </w:rPr>
              <w:t>％合同款的服务费（</w:t>
            </w:r>
            <w:r>
              <w:rPr>
                <w:rFonts w:hint="eastAsia" w:asciiTheme="minorEastAsia" w:hAnsiTheme="minorEastAsia" w:cstheme="minorEastAsia"/>
                <w:sz w:val="24"/>
                <w:szCs w:val="24"/>
                <w:highlight w:val="none"/>
                <w:lang w:eastAsia="zh-CN"/>
              </w:rPr>
              <w:t>成交人</w:t>
            </w:r>
            <w:r>
              <w:rPr>
                <w:rFonts w:hint="eastAsia" w:asciiTheme="minorEastAsia" w:hAnsiTheme="minorEastAsia" w:eastAsiaTheme="minorEastAsia" w:cstheme="minorEastAsia"/>
                <w:sz w:val="24"/>
                <w:szCs w:val="24"/>
                <w:highlight w:val="none"/>
                <w:lang w:eastAsia="zh-CN"/>
              </w:rPr>
              <w:t>须提供</w:t>
            </w:r>
            <w:r>
              <w:rPr>
                <w:rFonts w:hint="eastAsia" w:asciiTheme="minorEastAsia" w:hAnsi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lang w:eastAsia="zh-CN"/>
              </w:rPr>
              <w:t>％合同款的正式发票）</w:t>
            </w:r>
          </w:p>
        </w:tc>
      </w:tr>
      <w:tr w14:paraId="22C778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14:paraId="1935C28F">
            <w:pPr>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76D2C3E1">
            <w:pPr>
              <w:ind w:firstLine="480" w:firstLineChars="200"/>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50</w:t>
            </w:r>
          </w:p>
        </w:tc>
        <w:tc>
          <w:tcPr>
            <w:tcW w:w="2999" w:type="pct"/>
            <w:tcBorders>
              <w:top w:val="outset" w:color="auto" w:sz="6" w:space="0"/>
              <w:left w:val="outset" w:color="auto" w:sz="6" w:space="0"/>
              <w:bottom w:val="outset" w:color="auto" w:sz="6" w:space="0"/>
              <w:right w:val="outset" w:color="auto" w:sz="6" w:space="0"/>
            </w:tcBorders>
            <w:shd w:val="clear" w:color="auto" w:fill="auto"/>
            <w:vAlign w:val="center"/>
          </w:tcPr>
          <w:p w14:paraId="35B80728">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202</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val="en-US" w:eastAsia="zh-CN"/>
              </w:rPr>
              <w:t>年第</w:t>
            </w:r>
            <w:r>
              <w:rPr>
                <w:rFonts w:hint="eastAsia" w:asciiTheme="minorEastAsia" w:hAnsi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lang w:val="en-US" w:eastAsia="zh-CN"/>
              </w:rPr>
              <w:t>季度</w:t>
            </w:r>
            <w:r>
              <w:rPr>
                <w:rFonts w:hint="eastAsia" w:asciiTheme="minorEastAsia" w:hAnsiTheme="minorEastAsia" w:eastAsiaTheme="minorEastAsia" w:cstheme="minorEastAsia"/>
                <w:sz w:val="24"/>
                <w:szCs w:val="24"/>
                <w:highlight w:val="none"/>
                <w:lang w:eastAsia="zh-CN"/>
              </w:rPr>
              <w:t>考核合格后，支付</w:t>
            </w:r>
            <w:r>
              <w:rPr>
                <w:rFonts w:hint="eastAsia" w:asciiTheme="minorEastAsia" w:hAnsiTheme="minorEastAsia" w:cstheme="minorEastAsia"/>
                <w:sz w:val="24"/>
                <w:szCs w:val="24"/>
                <w:highlight w:val="none"/>
                <w:lang w:val="en-US" w:eastAsia="zh-CN"/>
              </w:rPr>
              <w:t>50</w:t>
            </w:r>
            <w:r>
              <w:rPr>
                <w:rFonts w:hint="eastAsia" w:asciiTheme="minorEastAsia" w:hAnsiTheme="minorEastAsia" w:eastAsiaTheme="minorEastAsia" w:cstheme="minorEastAsia"/>
                <w:sz w:val="24"/>
                <w:szCs w:val="24"/>
                <w:highlight w:val="none"/>
                <w:lang w:eastAsia="zh-CN"/>
              </w:rPr>
              <w:t>％合同款的服务费（</w:t>
            </w:r>
            <w:r>
              <w:rPr>
                <w:rFonts w:hint="eastAsia" w:asciiTheme="minorEastAsia" w:hAnsiTheme="minorEastAsia" w:cstheme="minorEastAsia"/>
                <w:sz w:val="24"/>
                <w:szCs w:val="24"/>
                <w:highlight w:val="none"/>
                <w:lang w:eastAsia="zh-CN"/>
              </w:rPr>
              <w:t>成交人</w:t>
            </w:r>
            <w:r>
              <w:rPr>
                <w:rFonts w:hint="eastAsia" w:asciiTheme="minorEastAsia" w:hAnsiTheme="minorEastAsia" w:eastAsiaTheme="minorEastAsia" w:cstheme="minorEastAsia"/>
                <w:sz w:val="24"/>
                <w:szCs w:val="24"/>
                <w:highlight w:val="none"/>
                <w:lang w:eastAsia="zh-CN"/>
              </w:rPr>
              <w:t>须提供</w:t>
            </w:r>
            <w:r>
              <w:rPr>
                <w:rFonts w:hint="eastAsia" w:asciiTheme="minorEastAsia" w:hAnsiTheme="minorEastAsia" w:cstheme="minorEastAsia"/>
                <w:sz w:val="24"/>
                <w:szCs w:val="24"/>
                <w:highlight w:val="none"/>
                <w:lang w:val="en-US" w:eastAsia="zh-CN"/>
              </w:rPr>
              <w:t>50</w:t>
            </w:r>
            <w:r>
              <w:rPr>
                <w:rFonts w:hint="eastAsia" w:asciiTheme="minorEastAsia" w:hAnsiTheme="minorEastAsia" w:eastAsiaTheme="minorEastAsia" w:cstheme="minorEastAsia"/>
                <w:sz w:val="24"/>
                <w:szCs w:val="24"/>
                <w:highlight w:val="none"/>
                <w:lang w:eastAsia="zh-CN"/>
              </w:rPr>
              <w:t>％合同款的正式发票）</w:t>
            </w:r>
          </w:p>
        </w:tc>
      </w:tr>
      <w:tr w14:paraId="5192BD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14:paraId="34599CA4">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564938E0">
            <w:pPr>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w:t>
            </w:r>
          </w:p>
        </w:tc>
        <w:tc>
          <w:tcPr>
            <w:tcW w:w="2999" w:type="pct"/>
            <w:tcBorders>
              <w:top w:val="outset" w:color="auto" w:sz="6" w:space="0"/>
              <w:left w:val="outset" w:color="auto" w:sz="6" w:space="0"/>
              <w:bottom w:val="outset" w:color="auto" w:sz="6" w:space="0"/>
              <w:right w:val="outset" w:color="auto" w:sz="6" w:space="0"/>
            </w:tcBorders>
            <w:shd w:val="clear" w:color="auto" w:fill="auto"/>
            <w:vAlign w:val="center"/>
          </w:tcPr>
          <w:p w14:paraId="68B7CC0F">
            <w:pPr>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202</w:t>
            </w: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en-US" w:eastAsia="zh-CN"/>
              </w:rPr>
              <w:t>年第</w:t>
            </w:r>
            <w:r>
              <w:rPr>
                <w:rFonts w:hint="eastAsia" w:asciiTheme="minorEastAsia" w:hAnsiTheme="minorEastAsia" w:cstheme="minorEastAsia"/>
                <w:sz w:val="24"/>
                <w:szCs w:val="24"/>
                <w:highlight w:val="none"/>
                <w:lang w:val="en-US" w:eastAsia="zh-CN"/>
              </w:rPr>
              <w:t>一、二</w:t>
            </w:r>
            <w:r>
              <w:rPr>
                <w:rFonts w:hint="eastAsia" w:asciiTheme="minorEastAsia" w:hAnsiTheme="minorEastAsia" w:eastAsiaTheme="minorEastAsia" w:cstheme="minorEastAsia"/>
                <w:sz w:val="24"/>
                <w:szCs w:val="24"/>
                <w:highlight w:val="none"/>
                <w:lang w:val="en-US" w:eastAsia="zh-CN"/>
              </w:rPr>
              <w:t>季度</w:t>
            </w:r>
            <w:r>
              <w:rPr>
                <w:rFonts w:hint="eastAsia" w:asciiTheme="minorEastAsia" w:hAnsiTheme="minorEastAsia" w:eastAsiaTheme="minorEastAsia" w:cstheme="minorEastAsia"/>
                <w:sz w:val="24"/>
                <w:szCs w:val="24"/>
                <w:highlight w:val="none"/>
                <w:lang w:eastAsia="zh-CN"/>
              </w:rPr>
              <w:t>考核合格后，支付剩余</w:t>
            </w:r>
            <w:r>
              <w:rPr>
                <w:rFonts w:hint="eastAsia" w:asciiTheme="minorEastAsia" w:hAnsi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lang w:eastAsia="zh-CN"/>
              </w:rPr>
              <w:t>％合同款的服务费（</w:t>
            </w:r>
            <w:r>
              <w:rPr>
                <w:rFonts w:hint="eastAsia" w:asciiTheme="minorEastAsia" w:hAnsiTheme="minorEastAsia" w:cstheme="minorEastAsia"/>
                <w:sz w:val="24"/>
                <w:szCs w:val="24"/>
                <w:highlight w:val="none"/>
                <w:lang w:eastAsia="zh-CN"/>
              </w:rPr>
              <w:t>成交人</w:t>
            </w:r>
            <w:r>
              <w:rPr>
                <w:rFonts w:hint="eastAsia" w:asciiTheme="minorEastAsia" w:hAnsiTheme="minorEastAsia" w:eastAsiaTheme="minorEastAsia" w:cstheme="minorEastAsia"/>
                <w:sz w:val="24"/>
                <w:szCs w:val="24"/>
                <w:highlight w:val="none"/>
                <w:lang w:eastAsia="zh-CN"/>
              </w:rPr>
              <w:t>须提供</w:t>
            </w:r>
            <w:r>
              <w:rPr>
                <w:rFonts w:hint="eastAsia" w:asciiTheme="minorEastAsia" w:hAnsi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lang w:eastAsia="zh-CN"/>
              </w:rPr>
              <w:t>％合同款的正式发票）</w:t>
            </w:r>
          </w:p>
        </w:tc>
      </w:tr>
    </w:tbl>
    <w:p w14:paraId="1E3ED824">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8、投标报价</w:t>
      </w:r>
    </w:p>
    <w:p w14:paraId="7C807D33">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报价包括但不限于人员的投入、检测设备、维修等部分，还要包括可能的运输、安装、调试、培训等配套服务，同时应考虑合同中可能出现的索赔和变更。</w:t>
      </w:r>
    </w:p>
    <w:p w14:paraId="184BD1E0">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9、结算要求：采购人根据成交人的服务情况进行综合考核并确定每期最终支付费用（支付金额为每期结算费用基准金额减去考核指标扣罚费用），在收到成交人开具的等额正式发票后10个工作日内，向中标方支付费用。</w:t>
      </w:r>
    </w:p>
    <w:p w14:paraId="71B790E2">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w:t>
      </w:r>
      <w:r>
        <w:rPr>
          <w:rFonts w:hint="eastAsia" w:ascii="仿宋_GB2312" w:hAnsi="宋体" w:eastAsia="仿宋_GB2312"/>
          <w:sz w:val="32"/>
          <w:lang w:val="en-US" w:eastAsia="zh-CN"/>
        </w:rPr>
        <w:t>0</w:t>
      </w:r>
      <w:r>
        <w:rPr>
          <w:rFonts w:hint="eastAsia" w:ascii="仿宋_GB2312" w:hAnsi="宋体" w:eastAsia="仿宋_GB2312"/>
          <w:sz w:val="32"/>
          <w:lang w:eastAsia="zh-CN"/>
        </w:rPr>
        <w:t>、质量保障</w:t>
      </w:r>
    </w:p>
    <w:p w14:paraId="586F7AE7">
      <w:pPr>
        <w:numPr>
          <w:ilvl w:val="0"/>
          <w:numId w:val="0"/>
        </w:num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w:t>
      </w:r>
      <w:r>
        <w:rPr>
          <w:rFonts w:hint="eastAsia" w:ascii="仿宋_GB2312" w:hAnsi="宋体" w:eastAsia="仿宋_GB2312"/>
          <w:sz w:val="32"/>
          <w:lang w:val="en-US" w:eastAsia="zh-CN"/>
        </w:rPr>
        <w:t>0</w:t>
      </w:r>
      <w:r>
        <w:rPr>
          <w:rFonts w:hint="eastAsia" w:ascii="仿宋_GB2312" w:hAnsi="宋体" w:eastAsia="仿宋_GB2312"/>
          <w:sz w:val="32"/>
          <w:lang w:eastAsia="zh-CN"/>
        </w:rPr>
        <w:t>.1成交人需为本项目配备不少于</w:t>
      </w:r>
      <w:r>
        <w:rPr>
          <w:rFonts w:hint="eastAsia" w:ascii="仿宋_GB2312" w:hAnsi="宋体" w:eastAsia="仿宋_GB2312"/>
          <w:sz w:val="32"/>
          <w:lang w:val="en-US" w:eastAsia="zh-CN"/>
        </w:rPr>
        <w:t>3</w:t>
      </w:r>
      <w:r>
        <w:rPr>
          <w:rFonts w:hint="eastAsia" w:ascii="仿宋_GB2312" w:hAnsi="宋体" w:eastAsia="仿宋_GB2312"/>
          <w:sz w:val="32"/>
          <w:lang w:eastAsia="zh-CN"/>
        </w:rPr>
        <w:t>人的服务团队,成交人所承担维护工作的人员应与响应文件上载明的项目小组人员一致，并有相应的措施保证维护队伍的稳定和维护工作的稳定开展。如确需更换维护人员应事先书面提出更换理由并征得采购人同意，并提供与所更换维护人员具有相同资质的人员名单及资质证明。</w:t>
      </w:r>
    </w:p>
    <w:p w14:paraId="25998E55">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宋体" w:eastAsia="仿宋_GB2312"/>
          <w:sz w:val="32"/>
          <w:lang w:eastAsia="zh-CN"/>
        </w:rPr>
      </w:pPr>
      <w:r>
        <w:rPr>
          <w:rFonts w:hint="eastAsia" w:ascii="仿宋_GB2312" w:hAnsi="宋体" w:eastAsia="仿宋_GB2312"/>
          <w:sz w:val="32"/>
          <w:lang w:eastAsia="zh-CN"/>
        </w:rPr>
        <w:t>1</w:t>
      </w:r>
      <w:r>
        <w:rPr>
          <w:rFonts w:hint="eastAsia" w:ascii="仿宋_GB2312" w:hAnsi="宋体" w:eastAsia="仿宋_GB2312"/>
          <w:sz w:val="32"/>
          <w:lang w:val="en-US" w:eastAsia="zh-CN"/>
        </w:rPr>
        <w:t>0</w:t>
      </w:r>
      <w:r>
        <w:rPr>
          <w:rFonts w:hint="eastAsia" w:ascii="仿宋_GB2312" w:hAnsi="宋体" w:eastAsia="仿宋_GB2312"/>
          <w:sz w:val="32"/>
          <w:lang w:eastAsia="zh-CN"/>
        </w:rPr>
        <w:t>.2成交人应建立完整的维护服务操作指南和详细的维护服务记录，方便人员变动的工作交接和新人的培训，确保维护工作正常开展。</w:t>
      </w:r>
    </w:p>
    <w:p w14:paraId="2ECE38DF">
      <w:pPr>
        <w:numPr>
          <w:ilvl w:val="0"/>
          <w:numId w:val="0"/>
        </w:num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w:t>
      </w:r>
      <w:r>
        <w:rPr>
          <w:rFonts w:hint="eastAsia" w:ascii="仿宋_GB2312" w:hAnsi="宋体" w:eastAsia="仿宋_GB2312"/>
          <w:sz w:val="32"/>
          <w:lang w:val="en-US" w:eastAsia="zh-CN"/>
        </w:rPr>
        <w:t>0</w:t>
      </w:r>
      <w:r>
        <w:rPr>
          <w:rFonts w:hint="eastAsia" w:ascii="仿宋_GB2312" w:hAnsi="宋体" w:eastAsia="仿宋_GB2312"/>
          <w:sz w:val="32"/>
          <w:lang w:eastAsia="zh-CN"/>
        </w:rPr>
        <w:t>.3成交人在维护工作中要严格遵守维护操作规范，注意保护人身安全和技术设施(设备)等资产安全，否则应承担赔偿责任。</w:t>
      </w:r>
    </w:p>
    <w:p w14:paraId="4D1EDB9D">
      <w:pPr>
        <w:numPr>
          <w:ilvl w:val="0"/>
          <w:numId w:val="0"/>
        </w:num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w:t>
      </w:r>
      <w:r>
        <w:rPr>
          <w:rFonts w:hint="eastAsia" w:ascii="仿宋_GB2312" w:hAnsi="宋体" w:eastAsia="仿宋_GB2312"/>
          <w:sz w:val="32"/>
          <w:lang w:val="en-US" w:eastAsia="zh-CN"/>
        </w:rPr>
        <w:t>0</w:t>
      </w:r>
      <w:r>
        <w:rPr>
          <w:rFonts w:hint="eastAsia" w:ascii="仿宋_GB2312" w:hAnsi="宋体" w:eastAsia="仿宋_GB2312"/>
          <w:sz w:val="32"/>
          <w:lang w:eastAsia="zh-CN"/>
        </w:rPr>
        <w:t>.4成交人发现技术设施(设备)出现问题时(包括安全隐患、功能异常、指标下降等)，应及时向采购人书面汇报，并提出维护意见。成交人须协助采购人解决问题，所需的人员、车辆及工具由成交人提供。</w:t>
      </w:r>
    </w:p>
    <w:p w14:paraId="6DF1108F">
      <w:pPr>
        <w:numPr>
          <w:ilvl w:val="0"/>
          <w:numId w:val="0"/>
        </w:num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w:t>
      </w:r>
      <w:r>
        <w:rPr>
          <w:rFonts w:hint="eastAsia" w:ascii="仿宋_GB2312" w:hAnsi="宋体" w:eastAsia="仿宋_GB2312"/>
          <w:sz w:val="32"/>
          <w:lang w:val="en-US" w:eastAsia="zh-CN"/>
        </w:rPr>
        <w:t>0</w:t>
      </w:r>
      <w:r>
        <w:rPr>
          <w:rFonts w:hint="eastAsia" w:ascii="仿宋_GB2312" w:hAnsi="宋体" w:eastAsia="仿宋_GB2312"/>
          <w:sz w:val="32"/>
          <w:lang w:eastAsia="zh-CN"/>
        </w:rPr>
        <w:t>.5经成交人维修过的设备，各项性能指标不得低于维修维护前的水平，同时采取措施确保同一故障不反复出现。</w:t>
      </w:r>
    </w:p>
    <w:p w14:paraId="4DD106B1">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w:t>
      </w:r>
      <w:r>
        <w:rPr>
          <w:rFonts w:hint="eastAsia" w:ascii="仿宋_GB2312" w:hAnsi="宋体" w:eastAsia="仿宋_GB2312"/>
          <w:sz w:val="32"/>
          <w:lang w:val="en-US" w:eastAsia="zh-CN"/>
        </w:rPr>
        <w:t>1</w:t>
      </w:r>
      <w:r>
        <w:rPr>
          <w:rFonts w:hint="eastAsia" w:ascii="仿宋_GB2312" w:hAnsi="宋体" w:eastAsia="仿宋_GB2312"/>
          <w:sz w:val="32"/>
          <w:lang w:eastAsia="zh-CN"/>
        </w:rPr>
        <w:t>、违约责任</w:t>
      </w:r>
    </w:p>
    <w:p w14:paraId="569FEC70">
      <w:pPr>
        <w:numPr>
          <w:ilvl w:val="0"/>
          <w:numId w:val="0"/>
        </w:numPr>
        <w:ind w:leftChars="0"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w:t>
      </w:r>
      <w:r>
        <w:rPr>
          <w:rFonts w:hint="eastAsia" w:ascii="仿宋_GB2312" w:hAnsi="宋体" w:eastAsia="仿宋_GB2312"/>
          <w:sz w:val="32"/>
          <w:lang w:val="en-US" w:eastAsia="zh-CN"/>
        </w:rPr>
        <w:t>1</w:t>
      </w:r>
      <w:r>
        <w:rPr>
          <w:rFonts w:hint="eastAsia" w:ascii="仿宋_GB2312" w:hAnsi="宋体" w:eastAsia="仿宋_GB2312"/>
          <w:sz w:val="32"/>
          <w:lang w:eastAsia="zh-CN"/>
        </w:rPr>
        <w:t>.1因成交人原因造成采购合同无法按时签订，视为成交人违约，成交人违约对采购人造成的损失的，需另行支付相应的赔偿。</w:t>
      </w:r>
    </w:p>
    <w:p w14:paraId="04A910E3">
      <w:pPr>
        <w:numPr>
          <w:ilvl w:val="0"/>
          <w:numId w:val="0"/>
        </w:num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w:t>
      </w:r>
      <w:r>
        <w:rPr>
          <w:rFonts w:hint="eastAsia" w:ascii="仿宋_GB2312" w:hAnsi="宋体" w:eastAsia="仿宋_GB2312"/>
          <w:sz w:val="32"/>
          <w:lang w:val="en-US" w:eastAsia="zh-CN"/>
        </w:rPr>
        <w:t>1</w:t>
      </w:r>
      <w:r>
        <w:rPr>
          <w:rFonts w:hint="eastAsia" w:ascii="仿宋_GB2312" w:hAnsi="宋体" w:eastAsia="仿宋_GB2312"/>
          <w:sz w:val="32"/>
          <w:lang w:eastAsia="zh-CN"/>
        </w:rPr>
        <w:t>.2在签定采购合同之后，成交人要求解除合同的，视为成交人违约，对采购人造成的损失的，成交人需支付相应的赔偿。</w:t>
      </w:r>
    </w:p>
    <w:p w14:paraId="1CE86B12">
      <w:pPr>
        <w:numPr>
          <w:ilvl w:val="0"/>
          <w:numId w:val="0"/>
        </w:num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w:t>
      </w:r>
      <w:r>
        <w:rPr>
          <w:rFonts w:hint="eastAsia" w:ascii="仿宋_GB2312" w:hAnsi="宋体" w:eastAsia="仿宋_GB2312"/>
          <w:sz w:val="32"/>
          <w:lang w:val="en-US" w:eastAsia="zh-CN"/>
        </w:rPr>
        <w:t>1</w:t>
      </w:r>
      <w:r>
        <w:rPr>
          <w:rFonts w:hint="eastAsia" w:ascii="仿宋_GB2312" w:hAnsi="宋体" w:eastAsia="仿宋_GB2312"/>
          <w:sz w:val="32"/>
          <w:lang w:eastAsia="zh-CN"/>
        </w:rPr>
        <w:t>.3因成交人原因发生重大质量事故，除依约承担赔偿责任外，还将按有关质量管理办法规定执行。同时，采购人有权保留更换成交人的权利，并报相关行政主管部门处罚。</w:t>
      </w:r>
    </w:p>
    <w:p w14:paraId="0A82C2A0">
      <w:pPr>
        <w:numPr>
          <w:ilvl w:val="0"/>
          <w:numId w:val="0"/>
        </w:num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w:t>
      </w:r>
      <w:r>
        <w:rPr>
          <w:rFonts w:hint="eastAsia" w:ascii="仿宋_GB2312" w:hAnsi="宋体" w:eastAsia="仿宋_GB2312"/>
          <w:sz w:val="32"/>
          <w:lang w:val="en-US" w:eastAsia="zh-CN"/>
        </w:rPr>
        <w:t>1</w:t>
      </w:r>
      <w:r>
        <w:rPr>
          <w:rFonts w:hint="eastAsia" w:ascii="仿宋_GB2312" w:hAnsi="宋体" w:eastAsia="仿宋_GB2312"/>
          <w:sz w:val="32"/>
          <w:lang w:eastAsia="zh-CN"/>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00F9A4C3">
      <w:pPr>
        <w:numPr>
          <w:ilvl w:val="0"/>
          <w:numId w:val="0"/>
        </w:num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w:t>
      </w:r>
      <w:r>
        <w:rPr>
          <w:rFonts w:hint="eastAsia" w:ascii="仿宋_GB2312" w:hAnsi="宋体" w:eastAsia="仿宋_GB2312"/>
          <w:sz w:val="32"/>
          <w:lang w:val="en-US" w:eastAsia="zh-CN"/>
        </w:rPr>
        <w:t>1</w:t>
      </w:r>
      <w:r>
        <w:rPr>
          <w:rFonts w:hint="eastAsia" w:ascii="仿宋_GB2312" w:hAnsi="宋体" w:eastAsia="仿宋_GB2312"/>
          <w:sz w:val="32"/>
          <w:lang w:eastAsia="zh-CN"/>
        </w:rPr>
        <w:t>.5在明确违约责任后，成交人应在接到采购人的书面通知书起七天内支付违约金、赔偿金等。 </w:t>
      </w:r>
    </w:p>
    <w:p w14:paraId="0560AD33">
      <w:pPr>
        <w:ind w:firstLine="643" w:firstLineChars="200"/>
        <w:rPr>
          <w:rFonts w:hint="eastAsia" w:ascii="黑体" w:hAnsi="黑体" w:eastAsia="黑体" w:cs="黑体"/>
          <w:b/>
          <w:bCs/>
          <w:sz w:val="32"/>
          <w:lang w:eastAsia="zh-CN"/>
        </w:rPr>
      </w:pPr>
      <w:r>
        <w:rPr>
          <w:rFonts w:hint="eastAsia" w:ascii="黑体" w:hAnsi="黑体" w:eastAsia="黑体" w:cs="黑体"/>
          <w:b/>
          <w:bCs/>
          <w:sz w:val="32"/>
          <w:lang w:eastAsia="zh-CN"/>
        </w:rPr>
        <w:t>四、其他事项</w:t>
      </w:r>
    </w:p>
    <w:p w14:paraId="37D0CFA7">
      <w:pPr>
        <w:numPr>
          <w:ilvl w:val="0"/>
          <w:numId w:val="0"/>
        </w:numPr>
        <w:ind w:leftChars="0"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1.本项目不允许成交人以任何名义、理由和方式进行转包、分包，如有出现上述情形，采购人有权单方终止合同，因此产生的损失和费用由成交人承担。</w:t>
      </w:r>
    </w:p>
    <w:p w14:paraId="482733E4">
      <w:pPr>
        <w:numPr>
          <w:ilvl w:val="0"/>
          <w:numId w:val="0"/>
        </w:numPr>
        <w:ind w:firstLine="640" w:firstLineChars="200"/>
        <w:rPr>
          <w:rFonts w:hint="eastAsia" w:ascii="仿宋_GB2312" w:hAnsi="宋体" w:eastAsia="仿宋_GB2312"/>
          <w:color w:val="auto"/>
          <w:sz w:val="32"/>
          <w:lang w:eastAsia="zh-CN"/>
        </w:rPr>
      </w:pPr>
      <w:r>
        <w:rPr>
          <w:rFonts w:hint="eastAsia" w:ascii="仿宋_GB2312" w:hAnsi="宋体" w:eastAsia="仿宋_GB2312"/>
          <w:sz w:val="32"/>
          <w:lang w:eastAsia="zh-CN"/>
        </w:rPr>
        <w:t>2.采</w:t>
      </w:r>
      <w:r>
        <w:rPr>
          <w:rFonts w:hint="eastAsia" w:ascii="仿宋_GB2312" w:hAnsi="宋体" w:eastAsia="仿宋_GB2312"/>
          <w:color w:val="auto"/>
          <w:sz w:val="32"/>
          <w:lang w:eastAsia="zh-CN"/>
        </w:rPr>
        <w:t>购人每季度对成交人的服务进行一次考核（代维服务管理考核办法</w:t>
      </w:r>
      <w:r>
        <w:rPr>
          <w:rFonts w:hint="eastAsia" w:ascii="仿宋_GB2312" w:hAnsi="宋体" w:eastAsia="仿宋_GB2312"/>
          <w:color w:val="auto"/>
          <w:sz w:val="32"/>
          <w:lang w:val="en-US" w:eastAsia="zh-CN"/>
        </w:rPr>
        <w:t>见附件二</w:t>
      </w:r>
      <w:r>
        <w:rPr>
          <w:rFonts w:hint="eastAsia" w:ascii="黑体" w:hAnsi="黑体" w:eastAsia="黑体" w:cs="黑体"/>
          <w:sz w:val="32"/>
          <w:lang w:eastAsia="zh-CN"/>
        </w:rPr>
        <w:t>）</w:t>
      </w:r>
      <w:r>
        <w:rPr>
          <w:rFonts w:hint="eastAsia" w:ascii="仿宋_GB2312" w:hAnsi="宋体" w:eastAsia="仿宋_GB2312"/>
          <w:color w:val="auto"/>
          <w:sz w:val="32"/>
          <w:lang w:eastAsia="zh-CN"/>
        </w:rPr>
        <w:t>，出现以下情况时，采购人有权有权单方终止合同，因此产生的损失和费用由成交人承担：</w:t>
      </w:r>
    </w:p>
    <w:p w14:paraId="2738FAF4">
      <w:pPr>
        <w:ind w:firstLine="640" w:firstLineChars="200"/>
        <w:rPr>
          <w:rFonts w:hint="eastAsia" w:ascii="仿宋_GB2312" w:hAnsi="宋体" w:eastAsia="仿宋_GB2312"/>
          <w:color w:val="auto"/>
          <w:sz w:val="32"/>
          <w:lang w:eastAsia="zh-CN"/>
        </w:rPr>
      </w:pPr>
      <w:r>
        <w:rPr>
          <w:rFonts w:hint="eastAsia" w:ascii="仿宋_GB2312" w:hAnsi="宋体" w:eastAsia="仿宋_GB2312"/>
          <w:color w:val="auto"/>
          <w:sz w:val="32"/>
          <w:lang w:eastAsia="zh-CN"/>
        </w:rPr>
        <w:t>（</w:t>
      </w:r>
      <w:r>
        <w:rPr>
          <w:rFonts w:hint="eastAsia" w:ascii="仿宋_GB2312" w:hAnsi="宋体" w:eastAsia="仿宋_GB2312"/>
          <w:color w:val="auto"/>
          <w:sz w:val="32"/>
          <w:lang w:val="en-US" w:eastAsia="zh-CN"/>
        </w:rPr>
        <w:t>1</w:t>
      </w:r>
      <w:r>
        <w:rPr>
          <w:rFonts w:hint="eastAsia" w:ascii="仿宋_GB2312" w:hAnsi="宋体" w:eastAsia="仿宋_GB2312"/>
          <w:color w:val="auto"/>
          <w:sz w:val="32"/>
          <w:lang w:eastAsia="zh-CN"/>
        </w:rPr>
        <w:t>）季度考核出现2次低于80分的；</w:t>
      </w:r>
    </w:p>
    <w:p w14:paraId="456463CA">
      <w:pPr>
        <w:ind w:firstLine="640" w:firstLineChars="200"/>
        <w:rPr>
          <w:rFonts w:hint="eastAsia" w:ascii="仿宋_GB2312" w:hAnsi="宋体" w:eastAsia="仿宋_GB2312"/>
          <w:color w:val="auto"/>
          <w:sz w:val="32"/>
          <w:lang w:eastAsia="zh-CN"/>
        </w:rPr>
      </w:pPr>
      <w:r>
        <w:rPr>
          <w:rFonts w:hint="eastAsia" w:ascii="仿宋_GB2312" w:hAnsi="宋体" w:eastAsia="仿宋_GB2312"/>
          <w:color w:val="auto"/>
          <w:sz w:val="32"/>
          <w:lang w:eastAsia="zh-CN"/>
        </w:rPr>
        <w:t>（</w:t>
      </w:r>
      <w:r>
        <w:rPr>
          <w:rFonts w:hint="eastAsia" w:ascii="仿宋_GB2312" w:hAnsi="宋体" w:eastAsia="仿宋_GB2312"/>
          <w:color w:val="auto"/>
          <w:sz w:val="32"/>
          <w:lang w:val="en-US" w:eastAsia="zh-CN"/>
        </w:rPr>
        <w:t>2</w:t>
      </w:r>
      <w:r>
        <w:rPr>
          <w:rFonts w:hint="eastAsia" w:ascii="仿宋_GB2312" w:hAnsi="宋体" w:eastAsia="仿宋_GB2312"/>
          <w:color w:val="auto"/>
          <w:sz w:val="32"/>
          <w:lang w:eastAsia="zh-CN"/>
        </w:rPr>
        <w:t>）季度考核出现1次低于60分（不含）的；</w:t>
      </w:r>
    </w:p>
    <w:p w14:paraId="0A00C726">
      <w:pPr>
        <w:ind w:firstLine="640" w:firstLineChars="200"/>
        <w:rPr>
          <w:rFonts w:hint="eastAsia"/>
          <w:color w:val="auto"/>
          <w:lang w:eastAsia="zh-CN"/>
        </w:rPr>
      </w:pPr>
      <w:r>
        <w:rPr>
          <w:rFonts w:hint="eastAsia" w:ascii="仿宋_GB2312" w:hAnsi="宋体" w:eastAsia="仿宋_GB2312"/>
          <w:color w:val="auto"/>
          <w:sz w:val="32"/>
          <w:lang w:eastAsia="zh-CN"/>
        </w:rPr>
        <w:t>（</w:t>
      </w:r>
      <w:r>
        <w:rPr>
          <w:rFonts w:hint="eastAsia" w:ascii="仿宋_GB2312" w:hAnsi="宋体" w:eastAsia="仿宋_GB2312"/>
          <w:color w:val="auto"/>
          <w:sz w:val="32"/>
          <w:lang w:val="en-US" w:eastAsia="zh-CN"/>
        </w:rPr>
        <w:t>3</w:t>
      </w:r>
      <w:r>
        <w:rPr>
          <w:rFonts w:hint="eastAsia" w:ascii="仿宋_GB2312" w:hAnsi="宋体" w:eastAsia="仿宋_GB2312"/>
          <w:color w:val="auto"/>
          <w:sz w:val="32"/>
          <w:lang w:eastAsia="zh-CN"/>
        </w:rPr>
        <w:t>）对于站点发生故障且已通知代维单位按工单约定时间和要求进行故障解决的，发现并核实</w:t>
      </w:r>
      <w:r>
        <w:rPr>
          <w:rFonts w:hint="eastAsia" w:ascii="仿宋_GB2312" w:hAnsi="宋体" w:eastAsia="仿宋_GB2312"/>
          <w:color w:val="auto"/>
          <w:sz w:val="32"/>
          <w:lang w:val="en-US" w:eastAsia="zh-CN"/>
        </w:rPr>
        <w:t>4</w:t>
      </w:r>
      <w:r>
        <w:rPr>
          <w:rFonts w:hint="eastAsia" w:ascii="仿宋_GB2312" w:hAnsi="宋体" w:eastAsia="仿宋_GB2312"/>
          <w:color w:val="auto"/>
          <w:sz w:val="32"/>
          <w:lang w:eastAsia="zh-CN"/>
        </w:rPr>
        <w:t>次未及时完成的。</w:t>
      </w:r>
    </w:p>
    <w:p w14:paraId="486AF80F">
      <w:pPr>
        <w:numPr>
          <w:ilvl w:val="0"/>
          <w:numId w:val="0"/>
        </w:numPr>
        <w:ind w:firstLine="640" w:firstLineChars="200"/>
        <w:rPr>
          <w:rFonts w:hint="eastAsia" w:ascii="仿宋_GB2312" w:hAnsi="宋体" w:eastAsia="仿宋_GB2312"/>
          <w:sz w:val="32"/>
          <w:lang w:eastAsia="zh-CN"/>
        </w:rPr>
      </w:pPr>
      <w:r>
        <w:rPr>
          <w:rFonts w:hint="eastAsia" w:ascii="仿宋_GB2312" w:hAnsi="宋体" w:eastAsia="仿宋_GB2312"/>
          <w:color w:val="auto"/>
          <w:sz w:val="32"/>
          <w:lang w:eastAsia="zh-CN"/>
        </w:rPr>
        <w:t>3.成交人应为本项目实施提供充足的人力资源保障以</w:t>
      </w:r>
      <w:r>
        <w:rPr>
          <w:rFonts w:hint="eastAsia" w:ascii="仿宋_GB2312" w:hAnsi="宋体" w:eastAsia="仿宋_GB2312"/>
          <w:sz w:val="32"/>
          <w:lang w:eastAsia="zh-CN"/>
        </w:rPr>
        <w:t>及相应的车辆、仪器、仪表工具等。</w:t>
      </w:r>
    </w:p>
    <w:p w14:paraId="71346A33">
      <w:pPr>
        <w:numPr>
          <w:ilvl w:val="0"/>
          <w:numId w:val="0"/>
        </w:num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4.成交人需与采购人签订保密协议，承诺在运行维护服务过程中，须严格遵守保密纪律，保守采购人的网络、地址、坐标、系统、数据和业务秘密。禁止在未经采购人同意的情况下查阅、拷贝、操作设备中的数据（包括但不限于无线电监测设备中的数据、图表、文字信息等）。对监测站和监测设施的名称型号、标识码、地理位置等以及在运行维护过程中取得的图片、数据和其他信息要严格保密。</w:t>
      </w:r>
    </w:p>
    <w:p w14:paraId="2705D713">
      <w:pPr>
        <w:pStyle w:val="2"/>
        <w:rPr>
          <w:rFonts w:hint="eastAsia" w:ascii="仿宋_GB2312" w:hAnsi="宋体" w:eastAsia="仿宋_GB2312"/>
          <w:sz w:val="32"/>
          <w:lang w:eastAsia="zh-CN"/>
        </w:rPr>
      </w:pPr>
    </w:p>
    <w:p w14:paraId="53B8A0F6">
      <w:pPr>
        <w:rPr>
          <w:rFonts w:hint="eastAsia" w:ascii="仿宋_GB2312" w:hAnsi="宋体" w:eastAsia="仿宋_GB2312"/>
          <w:sz w:val="32"/>
          <w:lang w:eastAsia="zh-CN"/>
        </w:rPr>
      </w:pPr>
    </w:p>
    <w:p w14:paraId="034762D9">
      <w:pPr>
        <w:pStyle w:val="2"/>
        <w:rPr>
          <w:rFonts w:hint="eastAsia" w:ascii="仿宋_GB2312" w:hAnsi="宋体" w:eastAsia="仿宋_GB2312"/>
          <w:sz w:val="32"/>
          <w:lang w:eastAsia="zh-CN"/>
        </w:rPr>
      </w:pPr>
    </w:p>
    <w:p w14:paraId="784905D6">
      <w:pPr>
        <w:rPr>
          <w:rFonts w:hint="eastAsia" w:ascii="仿宋_GB2312" w:hAnsi="宋体" w:eastAsia="仿宋_GB2312"/>
          <w:sz w:val="32"/>
          <w:lang w:eastAsia="zh-CN"/>
        </w:rPr>
      </w:pPr>
    </w:p>
    <w:p w14:paraId="25F0A119">
      <w:pPr>
        <w:pStyle w:val="2"/>
        <w:rPr>
          <w:rFonts w:hint="eastAsia" w:ascii="仿宋_GB2312" w:hAnsi="宋体" w:eastAsia="仿宋_GB2312"/>
          <w:sz w:val="32"/>
          <w:lang w:eastAsia="zh-CN"/>
        </w:rPr>
      </w:pPr>
    </w:p>
    <w:p w14:paraId="267B4258">
      <w:pPr>
        <w:rPr>
          <w:rFonts w:hint="eastAsia" w:ascii="仿宋_GB2312" w:hAnsi="宋体" w:eastAsia="仿宋_GB2312"/>
          <w:sz w:val="32"/>
          <w:lang w:eastAsia="zh-CN"/>
        </w:rPr>
      </w:pPr>
    </w:p>
    <w:p w14:paraId="0A02E253">
      <w:pPr>
        <w:pStyle w:val="2"/>
        <w:rPr>
          <w:rFonts w:hint="eastAsia" w:ascii="仿宋_GB2312" w:hAnsi="宋体" w:eastAsia="仿宋_GB2312"/>
          <w:sz w:val="32"/>
          <w:lang w:eastAsia="zh-CN"/>
        </w:rPr>
      </w:pPr>
    </w:p>
    <w:p w14:paraId="1B01414F">
      <w:pPr>
        <w:rPr>
          <w:rFonts w:hint="eastAsia" w:ascii="仿宋_GB2312" w:hAnsi="宋体" w:eastAsia="仿宋_GB2312"/>
          <w:sz w:val="32"/>
          <w:lang w:eastAsia="zh-CN"/>
        </w:rPr>
      </w:pPr>
    </w:p>
    <w:p w14:paraId="15291B5B">
      <w:pPr>
        <w:pStyle w:val="2"/>
        <w:rPr>
          <w:rFonts w:hint="eastAsia" w:ascii="仿宋_GB2312" w:hAnsi="宋体" w:eastAsia="仿宋_GB2312"/>
          <w:sz w:val="32"/>
          <w:lang w:eastAsia="zh-CN"/>
        </w:rPr>
      </w:pPr>
    </w:p>
    <w:p w14:paraId="3B059665">
      <w:pPr>
        <w:rPr>
          <w:rFonts w:hint="eastAsia" w:ascii="仿宋_GB2312" w:hAnsi="宋体" w:eastAsia="仿宋_GB2312"/>
          <w:sz w:val="32"/>
          <w:lang w:eastAsia="zh-CN"/>
        </w:rPr>
      </w:pPr>
    </w:p>
    <w:p w14:paraId="5190453D">
      <w:pPr>
        <w:pStyle w:val="2"/>
        <w:rPr>
          <w:rFonts w:hint="eastAsia" w:ascii="仿宋_GB2312" w:hAnsi="宋体" w:eastAsia="仿宋_GB2312"/>
          <w:sz w:val="32"/>
          <w:lang w:eastAsia="zh-CN"/>
        </w:rPr>
      </w:pPr>
    </w:p>
    <w:p w14:paraId="41E498B7">
      <w:pPr>
        <w:rPr>
          <w:rFonts w:hint="eastAsia" w:ascii="仿宋_GB2312" w:hAnsi="宋体" w:eastAsia="仿宋_GB2312"/>
          <w:sz w:val="32"/>
          <w:lang w:eastAsia="zh-CN"/>
        </w:rPr>
      </w:pPr>
    </w:p>
    <w:p w14:paraId="314E2F4C">
      <w:pPr>
        <w:autoSpaceDE w:val="0"/>
        <w:spacing w:line="360" w:lineRule="auto"/>
        <w:jc w:val="left"/>
        <w:rPr>
          <w:rFonts w:hint="eastAsia" w:ascii="仿宋" w:hAnsi="仿宋" w:eastAsia="黑体" w:cs="黑体"/>
          <w:sz w:val="32"/>
          <w:szCs w:val="32"/>
          <w:lang w:eastAsia="zh-CN"/>
        </w:rPr>
      </w:pPr>
      <w:r>
        <w:rPr>
          <w:rFonts w:hint="eastAsia" w:ascii="仿宋" w:hAnsi="仿宋" w:eastAsia="黑体" w:cs="黑体"/>
          <w:sz w:val="32"/>
          <w:szCs w:val="32"/>
        </w:rPr>
        <w:t>附件</w:t>
      </w:r>
      <w:r>
        <w:rPr>
          <w:rFonts w:hint="eastAsia" w:ascii="仿宋" w:hAnsi="仿宋" w:eastAsia="黑体" w:cs="黑体"/>
          <w:sz w:val="32"/>
          <w:szCs w:val="32"/>
          <w:lang w:eastAsia="zh-CN"/>
        </w:rPr>
        <w:t>一</w:t>
      </w:r>
    </w:p>
    <w:p w14:paraId="48F64DC5">
      <w:pPr>
        <w:pStyle w:val="2"/>
        <w:rPr>
          <w:rFonts w:hint="eastAsia"/>
          <w:lang w:val="en-US" w:eastAsia="zh-CN"/>
        </w:rPr>
      </w:pPr>
    </w:p>
    <w:p w14:paraId="3D8A0C12">
      <w:pPr>
        <w:ind w:firstLine="640" w:firstLineChars="200"/>
        <w:jc w:val="center"/>
        <w:rPr>
          <w:rFonts w:hint="eastAsia" w:ascii="黑体" w:hAnsi="黑体" w:eastAsia="黑体" w:cs="黑体"/>
          <w:sz w:val="32"/>
          <w:lang w:eastAsia="zh-CN"/>
        </w:rPr>
      </w:pPr>
      <w:r>
        <w:rPr>
          <w:rFonts w:hint="eastAsia" w:ascii="黑体" w:hAnsi="黑体" w:eastAsia="黑体" w:cs="黑体"/>
          <w:sz w:val="32"/>
          <w:lang w:eastAsia="zh-CN"/>
        </w:rPr>
        <w:t>运维服务监测站点（设施）信息表</w:t>
      </w:r>
    </w:p>
    <w:tbl>
      <w:tblPr>
        <w:tblStyle w:val="6"/>
        <w:tblW w:w="8767" w:type="dxa"/>
        <w:tblInd w:w="93" w:type="dxa"/>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1008"/>
        <w:gridCol w:w="3118"/>
        <w:gridCol w:w="4641"/>
      </w:tblGrid>
      <w:tr w14:paraId="06A93496">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04" w:hRule="atLeast"/>
        </w:trPr>
        <w:tc>
          <w:tcPr>
            <w:tcW w:w="1008" w:type="dxa"/>
            <w:tcBorders>
              <w:tl2br w:val="nil"/>
              <w:tr2bl w:val="nil"/>
            </w:tcBorders>
            <w:shd w:val="clear" w:color="000000" w:fill="auto"/>
            <w:noWrap w:val="0"/>
            <w:vAlign w:val="center"/>
          </w:tcPr>
          <w:p w14:paraId="16CD6019">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3118" w:type="dxa"/>
            <w:tcBorders>
              <w:tl2br w:val="nil"/>
              <w:tr2bl w:val="nil"/>
            </w:tcBorders>
            <w:shd w:val="clear" w:color="000000" w:fill="auto"/>
            <w:noWrap w:val="0"/>
            <w:vAlign w:val="center"/>
          </w:tcPr>
          <w:p w14:paraId="27283B61">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监测站名称</w:t>
            </w:r>
          </w:p>
        </w:tc>
        <w:tc>
          <w:tcPr>
            <w:tcW w:w="4641" w:type="dxa"/>
            <w:tcBorders>
              <w:tl2br w:val="nil"/>
              <w:tr2bl w:val="nil"/>
            </w:tcBorders>
            <w:shd w:val="clear" w:color="000000" w:fill="auto"/>
            <w:noWrap w:val="0"/>
            <w:vAlign w:val="center"/>
          </w:tcPr>
          <w:p w14:paraId="5AB38064">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大概站址</w:t>
            </w:r>
          </w:p>
        </w:tc>
      </w:tr>
      <w:tr w14:paraId="2263E92E">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1008" w:type="dxa"/>
            <w:tcBorders>
              <w:tl2br w:val="nil"/>
              <w:tr2bl w:val="nil"/>
            </w:tcBorders>
            <w:noWrap w:val="0"/>
            <w:vAlign w:val="center"/>
          </w:tcPr>
          <w:p w14:paraId="60A4BC46">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3118" w:type="dxa"/>
            <w:tcBorders>
              <w:tl2br w:val="nil"/>
              <w:tr2bl w:val="nil"/>
            </w:tcBorders>
            <w:noWrap w:val="0"/>
            <w:vAlign w:val="center"/>
          </w:tcPr>
          <w:p w14:paraId="7EFBAF66">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XX固定监测站</w:t>
            </w:r>
          </w:p>
        </w:tc>
        <w:tc>
          <w:tcPr>
            <w:tcW w:w="4641" w:type="dxa"/>
            <w:tcBorders>
              <w:tl2br w:val="nil"/>
              <w:tr2bl w:val="nil"/>
            </w:tcBorders>
            <w:noWrap w:val="0"/>
            <w:vAlign w:val="center"/>
          </w:tcPr>
          <w:p w14:paraId="5546FE3C">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福建省三明市三元区</w:t>
            </w:r>
          </w:p>
        </w:tc>
      </w:tr>
      <w:tr w14:paraId="2A97A41E">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750" w:hRule="atLeast"/>
        </w:trPr>
        <w:tc>
          <w:tcPr>
            <w:tcW w:w="1008" w:type="dxa"/>
            <w:tcBorders>
              <w:tl2br w:val="nil"/>
              <w:tr2bl w:val="nil"/>
            </w:tcBorders>
            <w:noWrap w:val="0"/>
            <w:vAlign w:val="center"/>
          </w:tcPr>
          <w:p w14:paraId="48BC9252">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tc>
        <w:tc>
          <w:tcPr>
            <w:tcW w:w="3118" w:type="dxa"/>
            <w:tcBorders>
              <w:tl2br w:val="nil"/>
              <w:tr2bl w:val="nil"/>
            </w:tcBorders>
            <w:noWrap w:val="0"/>
            <w:vAlign w:val="center"/>
          </w:tcPr>
          <w:p w14:paraId="1967EB1D">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XX固定监测站</w:t>
            </w:r>
          </w:p>
        </w:tc>
        <w:tc>
          <w:tcPr>
            <w:tcW w:w="4641" w:type="dxa"/>
            <w:tcBorders>
              <w:tl2br w:val="nil"/>
              <w:tr2bl w:val="nil"/>
            </w:tcBorders>
            <w:noWrap w:val="0"/>
            <w:vAlign w:val="center"/>
          </w:tcPr>
          <w:p w14:paraId="4601C6C5">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福建省三明市永安市区</w:t>
            </w:r>
          </w:p>
        </w:tc>
      </w:tr>
      <w:tr w14:paraId="213D531F">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32D3FBAE">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3118" w:type="dxa"/>
            <w:tcBorders>
              <w:tl2br w:val="nil"/>
              <w:tr2bl w:val="nil"/>
            </w:tcBorders>
            <w:noWrap w:val="0"/>
            <w:vAlign w:val="center"/>
          </w:tcPr>
          <w:p w14:paraId="6D3D2F10">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沙县XX固定监测站</w:t>
            </w:r>
          </w:p>
        </w:tc>
        <w:tc>
          <w:tcPr>
            <w:tcW w:w="4641" w:type="dxa"/>
            <w:tcBorders>
              <w:tl2br w:val="nil"/>
              <w:tr2bl w:val="nil"/>
            </w:tcBorders>
            <w:noWrap w:val="0"/>
            <w:vAlign w:val="center"/>
          </w:tcPr>
          <w:p w14:paraId="2E8ED158">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福建省三明市沙县</w:t>
            </w:r>
          </w:p>
        </w:tc>
      </w:tr>
      <w:tr w14:paraId="76AC858C">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25A6ADF3">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w:t>
            </w:r>
          </w:p>
        </w:tc>
        <w:tc>
          <w:tcPr>
            <w:tcW w:w="3118" w:type="dxa"/>
            <w:tcBorders>
              <w:tl2br w:val="nil"/>
              <w:tr2bl w:val="nil"/>
            </w:tcBorders>
            <w:noWrap w:val="0"/>
            <w:vAlign w:val="center"/>
          </w:tcPr>
          <w:p w14:paraId="373E4183">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XX固定监测站</w:t>
            </w:r>
          </w:p>
        </w:tc>
        <w:tc>
          <w:tcPr>
            <w:tcW w:w="4641" w:type="dxa"/>
            <w:tcBorders>
              <w:tl2br w:val="nil"/>
              <w:tr2bl w:val="nil"/>
            </w:tcBorders>
            <w:noWrap w:val="0"/>
            <w:vAlign w:val="center"/>
          </w:tcPr>
          <w:p w14:paraId="25954A9E">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福建省三明市三元区</w:t>
            </w:r>
          </w:p>
        </w:tc>
      </w:tr>
      <w:tr w14:paraId="2A87A69B">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509DA4C0">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w:t>
            </w:r>
          </w:p>
        </w:tc>
        <w:tc>
          <w:tcPr>
            <w:tcW w:w="3118" w:type="dxa"/>
            <w:tcBorders>
              <w:tl2br w:val="nil"/>
              <w:tr2bl w:val="nil"/>
            </w:tcBorders>
            <w:noWrap w:val="0"/>
            <w:vAlign w:val="center"/>
          </w:tcPr>
          <w:p w14:paraId="32CA78FA">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大田XX监测站</w:t>
            </w:r>
          </w:p>
        </w:tc>
        <w:tc>
          <w:tcPr>
            <w:tcW w:w="4641" w:type="dxa"/>
            <w:tcBorders>
              <w:tl2br w:val="nil"/>
              <w:tr2bl w:val="nil"/>
            </w:tcBorders>
            <w:noWrap w:val="0"/>
            <w:vAlign w:val="center"/>
          </w:tcPr>
          <w:p w14:paraId="1362C6CC">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福建省三明市大田县城</w:t>
            </w:r>
          </w:p>
        </w:tc>
      </w:tr>
      <w:tr w14:paraId="519F5C6A">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3E8D358B">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w:t>
            </w:r>
          </w:p>
        </w:tc>
        <w:tc>
          <w:tcPr>
            <w:tcW w:w="3118" w:type="dxa"/>
            <w:tcBorders>
              <w:tl2br w:val="nil"/>
              <w:tr2bl w:val="nil"/>
            </w:tcBorders>
            <w:noWrap w:val="0"/>
            <w:vAlign w:val="center"/>
          </w:tcPr>
          <w:p w14:paraId="55186137">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泰宁XX监测站</w:t>
            </w:r>
          </w:p>
        </w:tc>
        <w:tc>
          <w:tcPr>
            <w:tcW w:w="4641" w:type="dxa"/>
            <w:tcBorders>
              <w:tl2br w:val="nil"/>
              <w:tr2bl w:val="nil"/>
            </w:tcBorders>
            <w:noWrap w:val="0"/>
            <w:vAlign w:val="center"/>
          </w:tcPr>
          <w:p w14:paraId="5CF6B2AB">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福建省三明市泰宁县城</w:t>
            </w:r>
          </w:p>
        </w:tc>
      </w:tr>
      <w:tr w14:paraId="3F97B227">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069DC523">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w:t>
            </w:r>
          </w:p>
        </w:tc>
        <w:tc>
          <w:tcPr>
            <w:tcW w:w="3118" w:type="dxa"/>
            <w:tcBorders>
              <w:tl2br w:val="nil"/>
              <w:tr2bl w:val="nil"/>
            </w:tcBorders>
            <w:noWrap w:val="0"/>
            <w:vAlign w:val="center"/>
          </w:tcPr>
          <w:p w14:paraId="3C9D465D">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三明XX监测站</w:t>
            </w:r>
          </w:p>
        </w:tc>
        <w:tc>
          <w:tcPr>
            <w:tcW w:w="4641" w:type="dxa"/>
            <w:tcBorders>
              <w:tl2br w:val="nil"/>
              <w:tr2bl w:val="nil"/>
            </w:tcBorders>
            <w:noWrap w:val="0"/>
            <w:vAlign w:val="center"/>
          </w:tcPr>
          <w:p w14:paraId="7E312097">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福建省三明市三元区</w:t>
            </w:r>
          </w:p>
        </w:tc>
      </w:tr>
      <w:tr w14:paraId="7A698FF0">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35D55AB1">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w:t>
            </w:r>
          </w:p>
        </w:tc>
        <w:tc>
          <w:tcPr>
            <w:tcW w:w="3118" w:type="dxa"/>
            <w:tcBorders>
              <w:tl2br w:val="nil"/>
              <w:tr2bl w:val="nil"/>
            </w:tcBorders>
            <w:noWrap w:val="0"/>
            <w:vAlign w:val="center"/>
          </w:tcPr>
          <w:p w14:paraId="49A1B0CB">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永安XX监测站</w:t>
            </w:r>
          </w:p>
        </w:tc>
        <w:tc>
          <w:tcPr>
            <w:tcW w:w="4641" w:type="dxa"/>
            <w:tcBorders>
              <w:tl2br w:val="nil"/>
              <w:tr2bl w:val="nil"/>
            </w:tcBorders>
            <w:noWrap w:val="0"/>
            <w:vAlign w:val="center"/>
          </w:tcPr>
          <w:p w14:paraId="2F8BE16B">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福建省三明市永安市大湖镇</w:t>
            </w:r>
          </w:p>
        </w:tc>
      </w:tr>
      <w:tr w14:paraId="2C1F57B2">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0B84E9B8">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w:t>
            </w:r>
          </w:p>
        </w:tc>
        <w:tc>
          <w:tcPr>
            <w:tcW w:w="3118" w:type="dxa"/>
            <w:tcBorders>
              <w:tl2br w:val="nil"/>
              <w:tr2bl w:val="nil"/>
            </w:tcBorders>
            <w:noWrap w:val="0"/>
            <w:vAlign w:val="center"/>
          </w:tcPr>
          <w:p w14:paraId="56FC41A8">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永安XX监测站</w:t>
            </w:r>
          </w:p>
        </w:tc>
        <w:tc>
          <w:tcPr>
            <w:tcW w:w="4641" w:type="dxa"/>
            <w:tcBorders>
              <w:tl2br w:val="nil"/>
              <w:tr2bl w:val="nil"/>
            </w:tcBorders>
            <w:noWrap w:val="0"/>
            <w:vAlign w:val="center"/>
          </w:tcPr>
          <w:p w14:paraId="50B6494F">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福建省三明市永安市</w:t>
            </w:r>
          </w:p>
        </w:tc>
      </w:tr>
      <w:tr w14:paraId="268ECB4A">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7CB7D150">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w:t>
            </w:r>
          </w:p>
        </w:tc>
        <w:tc>
          <w:tcPr>
            <w:tcW w:w="3118" w:type="dxa"/>
            <w:tcBorders>
              <w:tl2br w:val="nil"/>
              <w:tr2bl w:val="nil"/>
            </w:tcBorders>
            <w:noWrap w:val="0"/>
            <w:vAlign w:val="center"/>
          </w:tcPr>
          <w:p w14:paraId="349D56AF">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尤溪XX监测站</w:t>
            </w:r>
          </w:p>
        </w:tc>
        <w:tc>
          <w:tcPr>
            <w:tcW w:w="4641" w:type="dxa"/>
            <w:tcBorders>
              <w:tl2br w:val="nil"/>
              <w:tr2bl w:val="nil"/>
            </w:tcBorders>
            <w:noWrap w:val="0"/>
            <w:vAlign w:val="center"/>
          </w:tcPr>
          <w:p w14:paraId="1A2625F1">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福建省三明市尤溪县城</w:t>
            </w:r>
          </w:p>
        </w:tc>
      </w:tr>
      <w:tr w14:paraId="6BB127B8">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62614ED2">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w:t>
            </w:r>
          </w:p>
        </w:tc>
        <w:tc>
          <w:tcPr>
            <w:tcW w:w="3118" w:type="dxa"/>
            <w:tcBorders>
              <w:tl2br w:val="nil"/>
              <w:tr2bl w:val="nil"/>
            </w:tcBorders>
            <w:noWrap w:val="0"/>
            <w:vAlign w:val="center"/>
          </w:tcPr>
          <w:p w14:paraId="6F31F172">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建宁XX监测站</w:t>
            </w:r>
          </w:p>
        </w:tc>
        <w:tc>
          <w:tcPr>
            <w:tcW w:w="4641" w:type="dxa"/>
            <w:tcBorders>
              <w:tl2br w:val="nil"/>
              <w:tr2bl w:val="nil"/>
            </w:tcBorders>
            <w:noWrap w:val="0"/>
            <w:vAlign w:val="center"/>
          </w:tcPr>
          <w:p w14:paraId="16FD0ECC">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福建省三明市建宁县城</w:t>
            </w:r>
          </w:p>
        </w:tc>
      </w:tr>
      <w:tr w14:paraId="661F29EE">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2B6F1813">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w:t>
            </w:r>
          </w:p>
        </w:tc>
        <w:tc>
          <w:tcPr>
            <w:tcW w:w="3118" w:type="dxa"/>
            <w:tcBorders>
              <w:tl2br w:val="nil"/>
              <w:tr2bl w:val="nil"/>
            </w:tcBorders>
            <w:noWrap w:val="0"/>
            <w:vAlign w:val="center"/>
          </w:tcPr>
          <w:p w14:paraId="79E8B87D">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将乐XX监测站</w:t>
            </w:r>
          </w:p>
        </w:tc>
        <w:tc>
          <w:tcPr>
            <w:tcW w:w="4641" w:type="dxa"/>
            <w:tcBorders>
              <w:tl2br w:val="nil"/>
              <w:tr2bl w:val="nil"/>
            </w:tcBorders>
            <w:noWrap w:val="0"/>
            <w:vAlign w:val="center"/>
          </w:tcPr>
          <w:p w14:paraId="15509F53">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福建省三明市将乐县城</w:t>
            </w:r>
          </w:p>
        </w:tc>
      </w:tr>
      <w:tr w14:paraId="344B3322">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14C1793E">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w:t>
            </w:r>
          </w:p>
        </w:tc>
        <w:tc>
          <w:tcPr>
            <w:tcW w:w="3118" w:type="dxa"/>
            <w:tcBorders>
              <w:tl2br w:val="nil"/>
              <w:tr2bl w:val="nil"/>
            </w:tcBorders>
            <w:noWrap w:val="0"/>
            <w:vAlign w:val="center"/>
          </w:tcPr>
          <w:p w14:paraId="66FD3AD8">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明溪XX监测站</w:t>
            </w:r>
          </w:p>
        </w:tc>
        <w:tc>
          <w:tcPr>
            <w:tcW w:w="4641" w:type="dxa"/>
            <w:tcBorders>
              <w:tl2br w:val="nil"/>
              <w:tr2bl w:val="nil"/>
            </w:tcBorders>
            <w:noWrap w:val="0"/>
            <w:vAlign w:val="center"/>
          </w:tcPr>
          <w:p w14:paraId="5A109213">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福建省三明市明溪县城</w:t>
            </w:r>
          </w:p>
        </w:tc>
      </w:tr>
      <w:tr w14:paraId="2ECB66C1">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09E6DE93">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14</w:t>
            </w:r>
          </w:p>
        </w:tc>
        <w:tc>
          <w:tcPr>
            <w:tcW w:w="3118" w:type="dxa"/>
            <w:tcBorders>
              <w:tl2br w:val="nil"/>
              <w:tr2bl w:val="nil"/>
            </w:tcBorders>
            <w:noWrap w:val="0"/>
            <w:vAlign w:val="center"/>
          </w:tcPr>
          <w:p w14:paraId="6A3AA003">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宁化XX监测站</w:t>
            </w:r>
          </w:p>
        </w:tc>
        <w:tc>
          <w:tcPr>
            <w:tcW w:w="4641" w:type="dxa"/>
            <w:tcBorders>
              <w:tl2br w:val="nil"/>
              <w:tr2bl w:val="nil"/>
            </w:tcBorders>
            <w:noWrap w:val="0"/>
            <w:vAlign w:val="center"/>
          </w:tcPr>
          <w:p w14:paraId="51360C83">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福建省三明市宁化县城</w:t>
            </w:r>
          </w:p>
        </w:tc>
      </w:tr>
      <w:tr w14:paraId="1B1A3D04">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147E4EC7">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15</w:t>
            </w:r>
          </w:p>
        </w:tc>
        <w:tc>
          <w:tcPr>
            <w:tcW w:w="3118" w:type="dxa"/>
            <w:tcBorders>
              <w:tl2br w:val="nil"/>
              <w:tr2bl w:val="nil"/>
            </w:tcBorders>
            <w:noWrap w:val="0"/>
            <w:vAlign w:val="center"/>
          </w:tcPr>
          <w:p w14:paraId="3360BA34">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清流XX监测站</w:t>
            </w:r>
          </w:p>
        </w:tc>
        <w:tc>
          <w:tcPr>
            <w:tcW w:w="4641" w:type="dxa"/>
            <w:tcBorders>
              <w:tl2br w:val="nil"/>
              <w:tr2bl w:val="nil"/>
            </w:tcBorders>
            <w:noWrap w:val="0"/>
            <w:vAlign w:val="center"/>
          </w:tcPr>
          <w:p w14:paraId="68FFFBBA">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福建省三明市清流县城</w:t>
            </w:r>
          </w:p>
        </w:tc>
      </w:tr>
      <w:tr w14:paraId="272E6114">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7954825A">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16</w:t>
            </w:r>
          </w:p>
        </w:tc>
        <w:tc>
          <w:tcPr>
            <w:tcW w:w="3118" w:type="dxa"/>
            <w:tcBorders>
              <w:tl2br w:val="nil"/>
              <w:tr2bl w:val="nil"/>
            </w:tcBorders>
            <w:noWrap w:val="0"/>
            <w:vAlign w:val="center"/>
          </w:tcPr>
          <w:p w14:paraId="0578AEFC">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沙县XX监测站</w:t>
            </w:r>
          </w:p>
        </w:tc>
        <w:tc>
          <w:tcPr>
            <w:tcW w:w="4641" w:type="dxa"/>
            <w:tcBorders>
              <w:tl2br w:val="nil"/>
              <w:tr2bl w:val="nil"/>
            </w:tcBorders>
            <w:noWrap w:val="0"/>
            <w:vAlign w:val="center"/>
          </w:tcPr>
          <w:p w14:paraId="70D8A7F0">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福建省三明市沙县区</w:t>
            </w:r>
          </w:p>
        </w:tc>
      </w:tr>
      <w:tr w14:paraId="7811029B">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5C86BCA8">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17</w:t>
            </w:r>
          </w:p>
        </w:tc>
        <w:tc>
          <w:tcPr>
            <w:tcW w:w="3118" w:type="dxa"/>
            <w:tcBorders>
              <w:tl2br w:val="nil"/>
              <w:tr2bl w:val="nil"/>
            </w:tcBorders>
            <w:noWrap w:val="0"/>
            <w:vAlign w:val="center"/>
          </w:tcPr>
          <w:p w14:paraId="6F3769DD">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三明市XX监测站</w:t>
            </w:r>
          </w:p>
        </w:tc>
        <w:tc>
          <w:tcPr>
            <w:tcW w:w="4641" w:type="dxa"/>
            <w:tcBorders>
              <w:tl2br w:val="nil"/>
              <w:tr2bl w:val="nil"/>
            </w:tcBorders>
            <w:noWrap w:val="0"/>
            <w:vAlign w:val="center"/>
          </w:tcPr>
          <w:p w14:paraId="7537DCCE">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福建省三明市三元区</w:t>
            </w:r>
          </w:p>
        </w:tc>
      </w:tr>
      <w:tr w14:paraId="52FB6865">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715E4EAA">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18</w:t>
            </w:r>
          </w:p>
        </w:tc>
        <w:tc>
          <w:tcPr>
            <w:tcW w:w="3118" w:type="dxa"/>
            <w:tcBorders>
              <w:tl2br w:val="nil"/>
              <w:tr2bl w:val="nil"/>
            </w:tcBorders>
            <w:noWrap w:val="0"/>
            <w:vAlign w:val="center"/>
          </w:tcPr>
          <w:p w14:paraId="11D8105F">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三明市XX监测站</w:t>
            </w:r>
          </w:p>
        </w:tc>
        <w:tc>
          <w:tcPr>
            <w:tcW w:w="4641" w:type="dxa"/>
            <w:tcBorders>
              <w:tl2br w:val="nil"/>
              <w:tr2bl w:val="nil"/>
            </w:tcBorders>
            <w:noWrap w:val="0"/>
            <w:vAlign w:val="center"/>
          </w:tcPr>
          <w:p w14:paraId="0F0DF163">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福建省三明市三元区</w:t>
            </w:r>
          </w:p>
        </w:tc>
      </w:tr>
      <w:tr w14:paraId="2BFC1A35">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47979E69">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19</w:t>
            </w:r>
          </w:p>
        </w:tc>
        <w:tc>
          <w:tcPr>
            <w:tcW w:w="3118" w:type="dxa"/>
            <w:tcBorders>
              <w:tl2br w:val="nil"/>
              <w:tr2bl w:val="nil"/>
            </w:tcBorders>
            <w:noWrap w:val="0"/>
            <w:vAlign w:val="center"/>
          </w:tcPr>
          <w:p w14:paraId="35782F17">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沙县XX监测站</w:t>
            </w:r>
          </w:p>
        </w:tc>
        <w:tc>
          <w:tcPr>
            <w:tcW w:w="4641" w:type="dxa"/>
            <w:tcBorders>
              <w:tl2br w:val="nil"/>
              <w:tr2bl w:val="nil"/>
            </w:tcBorders>
            <w:noWrap w:val="0"/>
            <w:vAlign w:val="center"/>
          </w:tcPr>
          <w:p w14:paraId="2C744951">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福建省三明市沙县区</w:t>
            </w:r>
          </w:p>
        </w:tc>
      </w:tr>
      <w:tr w14:paraId="73532B22">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55E77AFA">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w:t>
            </w:r>
          </w:p>
        </w:tc>
        <w:tc>
          <w:tcPr>
            <w:tcW w:w="3118" w:type="dxa"/>
            <w:tcBorders>
              <w:tl2br w:val="nil"/>
              <w:tr2bl w:val="nil"/>
            </w:tcBorders>
            <w:noWrap w:val="0"/>
            <w:vAlign w:val="center"/>
          </w:tcPr>
          <w:p w14:paraId="51D9F8B0">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永安XX监测站</w:t>
            </w:r>
          </w:p>
        </w:tc>
        <w:tc>
          <w:tcPr>
            <w:tcW w:w="4641" w:type="dxa"/>
            <w:tcBorders>
              <w:tl2br w:val="nil"/>
              <w:tr2bl w:val="nil"/>
            </w:tcBorders>
            <w:noWrap w:val="0"/>
            <w:vAlign w:val="center"/>
          </w:tcPr>
          <w:p w14:paraId="4EB8FC71">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福建省三明市永安市小陶镇</w:t>
            </w:r>
          </w:p>
        </w:tc>
      </w:tr>
      <w:tr w14:paraId="5C58DAEB">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63C95EA2">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w:t>
            </w:r>
          </w:p>
        </w:tc>
        <w:tc>
          <w:tcPr>
            <w:tcW w:w="3118" w:type="dxa"/>
            <w:tcBorders>
              <w:tl2br w:val="nil"/>
              <w:tr2bl w:val="nil"/>
            </w:tcBorders>
            <w:noWrap w:val="0"/>
            <w:vAlign w:val="center"/>
          </w:tcPr>
          <w:p w14:paraId="7FE69E06">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尤溪XX监测站</w:t>
            </w:r>
          </w:p>
        </w:tc>
        <w:tc>
          <w:tcPr>
            <w:tcW w:w="4641" w:type="dxa"/>
            <w:tcBorders>
              <w:tl2br w:val="nil"/>
              <w:tr2bl w:val="nil"/>
            </w:tcBorders>
            <w:noWrap w:val="0"/>
            <w:vAlign w:val="center"/>
          </w:tcPr>
          <w:p w14:paraId="4C68FE5F">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福建省三明市尤溪县洋中镇</w:t>
            </w:r>
          </w:p>
        </w:tc>
      </w:tr>
      <w:tr w14:paraId="44F49495">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1C610FB3">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w:t>
            </w:r>
          </w:p>
        </w:tc>
        <w:tc>
          <w:tcPr>
            <w:tcW w:w="3118" w:type="dxa"/>
            <w:tcBorders>
              <w:tl2br w:val="nil"/>
              <w:tr2bl w:val="nil"/>
            </w:tcBorders>
            <w:noWrap w:val="0"/>
            <w:vAlign w:val="center"/>
          </w:tcPr>
          <w:p w14:paraId="596EA00B">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永安XX监测站</w:t>
            </w:r>
          </w:p>
        </w:tc>
        <w:tc>
          <w:tcPr>
            <w:tcW w:w="4641" w:type="dxa"/>
            <w:tcBorders>
              <w:tl2br w:val="nil"/>
              <w:tr2bl w:val="nil"/>
            </w:tcBorders>
            <w:noWrap w:val="0"/>
            <w:vAlign w:val="center"/>
          </w:tcPr>
          <w:p w14:paraId="78606B1D">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福建省三明市永安市</w:t>
            </w:r>
          </w:p>
        </w:tc>
      </w:tr>
      <w:tr w14:paraId="6FCCB0E9">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1F6631FB">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23</w:t>
            </w:r>
          </w:p>
        </w:tc>
        <w:tc>
          <w:tcPr>
            <w:tcW w:w="3118" w:type="dxa"/>
            <w:tcBorders>
              <w:tl2br w:val="nil"/>
              <w:tr2bl w:val="nil"/>
            </w:tcBorders>
            <w:noWrap w:val="0"/>
            <w:vAlign w:val="center"/>
          </w:tcPr>
          <w:p w14:paraId="45E63913">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大田XX监测站</w:t>
            </w:r>
          </w:p>
        </w:tc>
        <w:tc>
          <w:tcPr>
            <w:tcW w:w="4641" w:type="dxa"/>
            <w:tcBorders>
              <w:tl2br w:val="nil"/>
              <w:tr2bl w:val="nil"/>
            </w:tcBorders>
            <w:noWrap w:val="0"/>
            <w:vAlign w:val="center"/>
          </w:tcPr>
          <w:p w14:paraId="22777428">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福建省三明市大田县</w:t>
            </w:r>
          </w:p>
        </w:tc>
      </w:tr>
      <w:tr w14:paraId="3819D412">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30DFDD92">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24</w:t>
            </w:r>
          </w:p>
        </w:tc>
        <w:tc>
          <w:tcPr>
            <w:tcW w:w="3118" w:type="dxa"/>
            <w:tcBorders>
              <w:tl2br w:val="nil"/>
              <w:tr2bl w:val="nil"/>
            </w:tcBorders>
            <w:noWrap w:val="0"/>
            <w:vAlign w:val="center"/>
          </w:tcPr>
          <w:p w14:paraId="2169BC6D">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监测控制中心</w:t>
            </w:r>
          </w:p>
        </w:tc>
        <w:tc>
          <w:tcPr>
            <w:tcW w:w="4641" w:type="dxa"/>
            <w:tcBorders>
              <w:tl2br w:val="nil"/>
              <w:tr2bl w:val="nil"/>
            </w:tcBorders>
            <w:noWrap w:val="0"/>
            <w:vAlign w:val="center"/>
          </w:tcPr>
          <w:p w14:paraId="4DA06B3E">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福建省三明市三元区</w:t>
            </w:r>
          </w:p>
        </w:tc>
      </w:tr>
      <w:tr w14:paraId="37EF5E85">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0B992C45">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25</w:t>
            </w:r>
          </w:p>
        </w:tc>
        <w:tc>
          <w:tcPr>
            <w:tcW w:w="3118" w:type="dxa"/>
            <w:tcBorders>
              <w:tl2br w:val="nil"/>
              <w:tr2bl w:val="nil"/>
            </w:tcBorders>
            <w:noWrap w:val="0"/>
            <w:vAlign w:val="center"/>
          </w:tcPr>
          <w:p w14:paraId="35C176E6">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网络机房</w:t>
            </w:r>
          </w:p>
        </w:tc>
        <w:tc>
          <w:tcPr>
            <w:tcW w:w="4641" w:type="dxa"/>
            <w:tcBorders>
              <w:tl2br w:val="nil"/>
              <w:tr2bl w:val="nil"/>
            </w:tcBorders>
            <w:noWrap w:val="0"/>
            <w:vAlign w:val="center"/>
          </w:tcPr>
          <w:p w14:paraId="6FCB4F07">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福建省三明市三元区</w:t>
            </w:r>
          </w:p>
        </w:tc>
      </w:tr>
      <w:tr w14:paraId="332FE114">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35A030D3">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w:t>
            </w:r>
          </w:p>
        </w:tc>
        <w:tc>
          <w:tcPr>
            <w:tcW w:w="3118" w:type="dxa"/>
            <w:tcBorders>
              <w:tl2br w:val="nil"/>
              <w:tr2bl w:val="nil"/>
            </w:tcBorders>
            <w:noWrap w:val="0"/>
            <w:vAlign w:val="center"/>
          </w:tcPr>
          <w:p w14:paraId="6CBA7E35">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移动监测站</w:t>
            </w:r>
          </w:p>
        </w:tc>
        <w:tc>
          <w:tcPr>
            <w:tcW w:w="4641" w:type="dxa"/>
            <w:tcBorders>
              <w:tl2br w:val="nil"/>
              <w:tr2bl w:val="nil"/>
            </w:tcBorders>
            <w:noWrap w:val="0"/>
            <w:vAlign w:val="center"/>
          </w:tcPr>
          <w:p w14:paraId="6CE48FF9">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福建省三明市三元区</w:t>
            </w:r>
          </w:p>
        </w:tc>
      </w:tr>
      <w:tr w14:paraId="508746F6">
        <w:tblPrEx>
          <w:tblBorders>
            <w:top w:val="single" w:color="auto" w:sz="8"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1008" w:type="dxa"/>
            <w:tcBorders>
              <w:tl2br w:val="nil"/>
              <w:tr2bl w:val="nil"/>
            </w:tcBorders>
            <w:noWrap w:val="0"/>
            <w:vAlign w:val="center"/>
          </w:tcPr>
          <w:p w14:paraId="10CB2069">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w:t>
            </w:r>
          </w:p>
        </w:tc>
        <w:tc>
          <w:tcPr>
            <w:tcW w:w="3118" w:type="dxa"/>
            <w:tcBorders>
              <w:tl2br w:val="nil"/>
              <w:tr2bl w:val="nil"/>
            </w:tcBorders>
            <w:noWrap w:val="0"/>
            <w:vAlign w:val="center"/>
          </w:tcPr>
          <w:p w14:paraId="37717D78">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便携式监测设备</w:t>
            </w:r>
          </w:p>
        </w:tc>
        <w:tc>
          <w:tcPr>
            <w:tcW w:w="4641" w:type="dxa"/>
            <w:tcBorders>
              <w:tl2br w:val="nil"/>
              <w:tr2bl w:val="nil"/>
            </w:tcBorders>
            <w:noWrap w:val="0"/>
            <w:vAlign w:val="center"/>
          </w:tcPr>
          <w:p w14:paraId="2E11F117">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福建省三明市三元区</w:t>
            </w:r>
          </w:p>
        </w:tc>
      </w:tr>
    </w:tbl>
    <w:p w14:paraId="509A2CED">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备注：增减技术设施（设备）维护量由双方认定，确定正式交接之日后起算；正式交接之日若在当月15日前（含15日）的，将纳入当月维护量进行核算，若在当月15日后的，将计入下月维护量进行核算。</w:t>
      </w:r>
    </w:p>
    <w:p w14:paraId="198C4742">
      <w:pPr>
        <w:keepNext w:val="0"/>
        <w:keepLines w:val="0"/>
        <w:pageBreakBefore w:val="0"/>
        <w:widowControl w:val="0"/>
        <w:kinsoku/>
        <w:wordWrap/>
        <w:overflowPunct/>
        <w:topLinePunct w:val="0"/>
        <w:autoSpaceDE w:val="0"/>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p>
    <w:p w14:paraId="770D76C8">
      <w:pPr>
        <w:pStyle w:val="2"/>
        <w:rPr>
          <w:rFonts w:hint="eastAsia" w:ascii="仿宋_GB2312" w:hAnsi="仿宋_GB2312" w:eastAsia="仿宋_GB2312" w:cs="仿宋_GB2312"/>
          <w:sz w:val="24"/>
          <w:szCs w:val="24"/>
        </w:rPr>
      </w:pPr>
    </w:p>
    <w:p w14:paraId="6AB9B05A">
      <w:pPr>
        <w:rPr>
          <w:rFonts w:hint="eastAsia" w:ascii="仿宋_GB2312" w:hAnsi="仿宋_GB2312" w:eastAsia="仿宋_GB2312" w:cs="仿宋_GB2312"/>
          <w:sz w:val="24"/>
          <w:szCs w:val="24"/>
        </w:rPr>
      </w:pPr>
    </w:p>
    <w:p w14:paraId="313391C5">
      <w:pPr>
        <w:pStyle w:val="2"/>
        <w:rPr>
          <w:rFonts w:hint="eastAsia" w:ascii="仿宋_GB2312" w:hAnsi="仿宋_GB2312" w:eastAsia="仿宋_GB2312" w:cs="仿宋_GB2312"/>
          <w:sz w:val="24"/>
          <w:szCs w:val="24"/>
        </w:rPr>
      </w:pPr>
    </w:p>
    <w:p w14:paraId="48AE9190">
      <w:pPr>
        <w:rPr>
          <w:rFonts w:hint="eastAsia" w:ascii="仿宋_GB2312" w:hAnsi="仿宋_GB2312" w:eastAsia="仿宋_GB2312" w:cs="仿宋_GB2312"/>
          <w:sz w:val="24"/>
          <w:szCs w:val="24"/>
        </w:rPr>
      </w:pPr>
    </w:p>
    <w:p w14:paraId="2C310FEA">
      <w:pPr>
        <w:pStyle w:val="2"/>
        <w:rPr>
          <w:rFonts w:hint="eastAsia" w:ascii="仿宋_GB2312" w:hAnsi="仿宋_GB2312" w:eastAsia="仿宋_GB2312" w:cs="仿宋_GB2312"/>
          <w:sz w:val="24"/>
          <w:szCs w:val="24"/>
        </w:rPr>
      </w:pPr>
    </w:p>
    <w:p w14:paraId="40EBC5A6">
      <w:pPr>
        <w:rPr>
          <w:rFonts w:hint="eastAsia" w:ascii="仿宋_GB2312" w:hAnsi="仿宋_GB2312" w:eastAsia="仿宋_GB2312" w:cs="仿宋_GB2312"/>
          <w:sz w:val="24"/>
          <w:szCs w:val="24"/>
        </w:rPr>
      </w:pPr>
    </w:p>
    <w:p w14:paraId="0C7A3879">
      <w:pPr>
        <w:pStyle w:val="2"/>
        <w:rPr>
          <w:rFonts w:hint="eastAsia" w:ascii="仿宋_GB2312" w:hAnsi="仿宋_GB2312" w:eastAsia="仿宋_GB2312" w:cs="仿宋_GB2312"/>
          <w:sz w:val="24"/>
          <w:szCs w:val="24"/>
        </w:rPr>
      </w:pPr>
    </w:p>
    <w:p w14:paraId="281FD974">
      <w:pPr>
        <w:rPr>
          <w:rFonts w:hint="eastAsia" w:ascii="仿宋_GB2312" w:hAnsi="仿宋_GB2312" w:eastAsia="仿宋_GB2312" w:cs="仿宋_GB2312"/>
          <w:sz w:val="24"/>
          <w:szCs w:val="24"/>
        </w:rPr>
      </w:pPr>
    </w:p>
    <w:p w14:paraId="0C58CF3D">
      <w:pPr>
        <w:pStyle w:val="2"/>
        <w:rPr>
          <w:rFonts w:hint="eastAsia" w:ascii="仿宋_GB2312" w:hAnsi="仿宋_GB2312" w:eastAsia="仿宋_GB2312" w:cs="仿宋_GB2312"/>
          <w:sz w:val="24"/>
          <w:szCs w:val="24"/>
        </w:rPr>
      </w:pPr>
    </w:p>
    <w:p w14:paraId="439B39C3">
      <w:pPr>
        <w:rPr>
          <w:rFonts w:hint="eastAsia" w:ascii="仿宋_GB2312" w:hAnsi="仿宋_GB2312" w:eastAsia="仿宋_GB2312" w:cs="仿宋_GB2312"/>
          <w:sz w:val="24"/>
          <w:szCs w:val="24"/>
        </w:rPr>
      </w:pPr>
    </w:p>
    <w:p w14:paraId="291CF3DC">
      <w:pPr>
        <w:pStyle w:val="2"/>
        <w:rPr>
          <w:rFonts w:hint="eastAsia" w:ascii="仿宋_GB2312" w:hAnsi="仿宋_GB2312" w:eastAsia="仿宋_GB2312" w:cs="仿宋_GB2312"/>
          <w:sz w:val="24"/>
          <w:szCs w:val="24"/>
        </w:rPr>
      </w:pPr>
    </w:p>
    <w:p w14:paraId="61B05EE6">
      <w:pPr>
        <w:rPr>
          <w:rFonts w:hint="eastAsia" w:ascii="仿宋_GB2312" w:hAnsi="仿宋_GB2312" w:eastAsia="仿宋_GB2312" w:cs="仿宋_GB2312"/>
          <w:sz w:val="24"/>
          <w:szCs w:val="24"/>
        </w:rPr>
      </w:pPr>
    </w:p>
    <w:p w14:paraId="43567A6E">
      <w:pPr>
        <w:pStyle w:val="2"/>
        <w:rPr>
          <w:rFonts w:hint="eastAsia" w:ascii="仿宋_GB2312" w:hAnsi="仿宋_GB2312" w:eastAsia="仿宋_GB2312" w:cs="仿宋_GB2312"/>
          <w:sz w:val="24"/>
          <w:szCs w:val="24"/>
        </w:rPr>
      </w:pPr>
    </w:p>
    <w:p w14:paraId="20A6574B">
      <w:pPr>
        <w:rPr>
          <w:rFonts w:hint="eastAsia" w:ascii="仿宋_GB2312" w:hAnsi="仿宋_GB2312" w:eastAsia="仿宋_GB2312" w:cs="仿宋_GB2312"/>
          <w:sz w:val="24"/>
          <w:szCs w:val="24"/>
        </w:rPr>
      </w:pPr>
    </w:p>
    <w:p w14:paraId="2C4459AB">
      <w:pPr>
        <w:pStyle w:val="2"/>
        <w:rPr>
          <w:rFonts w:hint="eastAsia" w:ascii="仿宋_GB2312" w:hAnsi="仿宋_GB2312" w:eastAsia="仿宋_GB2312" w:cs="仿宋_GB2312"/>
          <w:sz w:val="24"/>
          <w:szCs w:val="24"/>
        </w:rPr>
      </w:pPr>
    </w:p>
    <w:p w14:paraId="35C56D1E">
      <w:pPr>
        <w:rPr>
          <w:rFonts w:hint="eastAsia"/>
        </w:rPr>
      </w:pPr>
    </w:p>
    <w:p w14:paraId="767EF112">
      <w:pPr>
        <w:pStyle w:val="2"/>
        <w:rPr>
          <w:rFonts w:hint="eastAsia" w:ascii="仿宋_GB2312" w:hAnsi="仿宋_GB2312" w:eastAsia="仿宋_GB2312" w:cs="仿宋_GB2312"/>
          <w:sz w:val="24"/>
          <w:szCs w:val="24"/>
        </w:rPr>
      </w:pPr>
    </w:p>
    <w:p w14:paraId="6526202A">
      <w:pPr>
        <w:rPr>
          <w:rFonts w:hint="eastAsia"/>
          <w:lang w:eastAsia="zh-CN"/>
        </w:rPr>
      </w:pPr>
    </w:p>
    <w:p w14:paraId="752808F9">
      <w:pPr>
        <w:pStyle w:val="2"/>
        <w:rPr>
          <w:rFonts w:hint="eastAsia"/>
          <w:lang w:eastAsia="zh-CN"/>
        </w:rPr>
      </w:pPr>
    </w:p>
    <w:p w14:paraId="7092A40B">
      <w:pPr>
        <w:rPr>
          <w:rFonts w:hint="eastAsia"/>
          <w:lang w:eastAsia="zh-CN"/>
        </w:rPr>
      </w:pPr>
    </w:p>
    <w:p w14:paraId="29B4B0C1">
      <w:pPr>
        <w:pStyle w:val="2"/>
        <w:rPr>
          <w:rFonts w:hint="eastAsia"/>
          <w:lang w:eastAsia="zh-CN"/>
        </w:rPr>
      </w:pPr>
    </w:p>
    <w:p w14:paraId="217C63DC">
      <w:pPr>
        <w:rPr>
          <w:rFonts w:hint="eastAsia"/>
          <w:lang w:eastAsia="zh-CN"/>
        </w:rPr>
      </w:pPr>
    </w:p>
    <w:p w14:paraId="20606383">
      <w:pPr>
        <w:rPr>
          <w:rFonts w:hint="default"/>
          <w:lang w:val="en-US" w:eastAsia="zh-CN"/>
        </w:rPr>
      </w:pPr>
    </w:p>
    <w:p w14:paraId="2245297A">
      <w:pPr>
        <w:numPr>
          <w:ilvl w:val="0"/>
          <w:numId w:val="0"/>
        </w:numPr>
        <w:ind w:leftChars="0"/>
        <w:rPr>
          <w:rFonts w:hint="eastAsia" w:ascii="黑体" w:hAnsi="黑体" w:eastAsia="黑体" w:cs="黑体"/>
          <w:sz w:val="32"/>
          <w:lang w:eastAsia="zh-CN"/>
        </w:rPr>
      </w:pPr>
    </w:p>
    <w:p w14:paraId="4F0936D1">
      <w:pPr>
        <w:numPr>
          <w:ilvl w:val="0"/>
          <w:numId w:val="0"/>
        </w:numPr>
        <w:ind w:leftChars="0"/>
        <w:rPr>
          <w:rFonts w:hint="eastAsia" w:ascii="黑体" w:hAnsi="黑体" w:eastAsia="黑体" w:cs="黑体"/>
          <w:sz w:val="32"/>
          <w:lang w:eastAsia="zh-CN"/>
        </w:rPr>
      </w:pPr>
      <w:r>
        <w:rPr>
          <w:rFonts w:hint="eastAsia" w:ascii="黑体" w:hAnsi="黑体" w:eastAsia="黑体" w:cs="黑体"/>
          <w:sz w:val="32"/>
          <w:lang w:eastAsia="zh-CN"/>
        </w:rPr>
        <w:t>附件</w:t>
      </w:r>
      <w:r>
        <w:rPr>
          <w:rFonts w:hint="eastAsia" w:ascii="黑体" w:hAnsi="黑体" w:eastAsia="黑体" w:cs="黑体"/>
          <w:sz w:val="32"/>
          <w:lang w:val="en-US" w:eastAsia="zh-CN"/>
        </w:rPr>
        <w:t>二</w:t>
      </w:r>
    </w:p>
    <w:p w14:paraId="1749F129">
      <w:pPr>
        <w:numPr>
          <w:ilvl w:val="0"/>
          <w:numId w:val="0"/>
        </w:numPr>
        <w:ind w:leftChars="0"/>
        <w:jc w:val="center"/>
        <w:rPr>
          <w:rFonts w:hint="eastAsia" w:ascii="黑体" w:hAnsi="黑体" w:eastAsia="黑体" w:cs="黑体"/>
          <w:sz w:val="32"/>
          <w:lang w:eastAsia="zh-CN"/>
        </w:rPr>
      </w:pPr>
      <w:r>
        <w:rPr>
          <w:rFonts w:hint="eastAsia" w:ascii="黑体" w:hAnsi="黑体" w:eastAsia="黑体" w:cs="黑体"/>
          <w:sz w:val="32"/>
          <w:lang w:eastAsia="zh-CN"/>
        </w:rPr>
        <w:t>代维服务管理考核办法</w:t>
      </w:r>
    </w:p>
    <w:p w14:paraId="3A2A9F32">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（一）考核评分组成及标准</w:t>
      </w:r>
    </w:p>
    <w:p w14:paraId="0B53881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每个服务周期(三个月)服务结束后的15日内成交人须提交一份满足要求的周期运维服务材料，每个服务周期(三个月)运维材料提交后的第一周内，采购人将按以下标准对服务情况进行考核，考核评价总分为100分，主要分为：</w:t>
      </w:r>
    </w:p>
    <w:p w14:paraId="46B9354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1.</w:t>
      </w:r>
      <w:r>
        <w:rPr>
          <w:rFonts w:hint="eastAsia" w:ascii="黑体" w:hAnsi="黑体" w:eastAsia="黑体" w:cs="黑体"/>
          <w:b w:val="0"/>
          <w:bCs w:val="0"/>
          <w:sz w:val="32"/>
          <w:szCs w:val="32"/>
          <w:highlight w:val="none"/>
          <w:lang w:eastAsia="zh-CN"/>
        </w:rPr>
        <w:t>定期</w:t>
      </w:r>
      <w:r>
        <w:rPr>
          <w:rFonts w:hint="eastAsia" w:ascii="黑体" w:hAnsi="黑体" w:eastAsia="黑体" w:cs="黑体"/>
          <w:b w:val="0"/>
          <w:bCs w:val="0"/>
          <w:sz w:val="32"/>
          <w:szCs w:val="32"/>
          <w:highlight w:val="none"/>
        </w:rPr>
        <w:t>巡检情况考核（</w:t>
      </w:r>
      <w:r>
        <w:rPr>
          <w:rFonts w:hint="eastAsia" w:ascii="黑体" w:hAnsi="黑体" w:eastAsia="黑体" w:cs="黑体"/>
          <w:b w:val="0"/>
          <w:bCs w:val="0"/>
          <w:sz w:val="32"/>
          <w:szCs w:val="32"/>
          <w:highlight w:val="none"/>
          <w:lang w:val="en-US" w:eastAsia="zh-CN"/>
        </w:rPr>
        <w:t>3</w:t>
      </w:r>
      <w:r>
        <w:rPr>
          <w:rFonts w:hint="eastAsia" w:ascii="黑体" w:hAnsi="黑体" w:eastAsia="黑体" w:cs="黑体"/>
          <w:b w:val="0"/>
          <w:bCs w:val="0"/>
          <w:sz w:val="32"/>
          <w:szCs w:val="32"/>
          <w:highlight w:val="none"/>
        </w:rPr>
        <w:t>0分）</w:t>
      </w:r>
    </w:p>
    <w:p w14:paraId="54BC0FB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成交人应根据服务周期要求按时完成定期巡检工作，并提交巡检相关的报表、报告、日志记录、统计分析、评测报告等材料。</w:t>
      </w:r>
    </w:p>
    <w:p w14:paraId="0CF73E6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考核要求和扣分标准如下：</w:t>
      </w:r>
    </w:p>
    <w:p w14:paraId="6571DA2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（1）定期巡检工作情况考核（分值20分）</w:t>
      </w:r>
    </w:p>
    <w:p w14:paraId="72DCBDA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①逾期未进行定期巡检的，每个站扣1分；</w:t>
      </w:r>
    </w:p>
    <w:p w14:paraId="2C40807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②逾期超过10天仍未进行定期巡检的，每个站的扣5分；</w:t>
      </w:r>
    </w:p>
    <w:p w14:paraId="442AE65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③定期巡检工作事项未完成的，每发现一项扣2分；</w:t>
      </w:r>
    </w:p>
    <w:p w14:paraId="598BE4C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④定期巡检弄虚作假的，每发现一次扣10分。</w:t>
      </w:r>
    </w:p>
    <w:p w14:paraId="01F90C0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（2）材料和报告提交情况考核（分值10分）</w:t>
      </w:r>
    </w:p>
    <w:p w14:paraId="215B39F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①逾期提交的每次扣1分；</w:t>
      </w:r>
    </w:p>
    <w:p w14:paraId="4A98795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②逾期超过5天仍未提交的扣5分；</w:t>
      </w:r>
    </w:p>
    <w:p w14:paraId="798E55E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③材料编制不规范且存在错误每发现一次扣2分；</w:t>
      </w:r>
    </w:p>
    <w:p w14:paraId="5E8FD59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④提交的材料每少一份扣1分；</w:t>
      </w:r>
    </w:p>
    <w:p w14:paraId="31A552F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⑤提交的材料报告作假的，每发现一次扣5分。</w:t>
      </w:r>
    </w:p>
    <w:p w14:paraId="4D8595D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2.日常检查情况考核（2</w:t>
      </w:r>
      <w:r>
        <w:rPr>
          <w:rFonts w:hint="eastAsia" w:ascii="黑体" w:hAnsi="黑体" w:eastAsia="黑体" w:cs="黑体"/>
          <w:b w:val="0"/>
          <w:bCs w:val="0"/>
          <w:sz w:val="32"/>
          <w:szCs w:val="32"/>
          <w:highlight w:val="none"/>
          <w:lang w:val="en-US" w:eastAsia="zh-CN"/>
        </w:rPr>
        <w:t>0</w:t>
      </w:r>
      <w:r>
        <w:rPr>
          <w:rFonts w:hint="eastAsia" w:ascii="黑体" w:hAnsi="黑体" w:eastAsia="黑体" w:cs="黑体"/>
          <w:b w:val="0"/>
          <w:bCs w:val="0"/>
          <w:sz w:val="32"/>
          <w:szCs w:val="32"/>
          <w:highlight w:val="none"/>
        </w:rPr>
        <w:t>分）</w:t>
      </w:r>
    </w:p>
    <w:p w14:paraId="2C12DA6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成交人应根据服务周期要求按规定完成站点的日常检查工作，并按时提交日常检查相关的报表、报告、日志记录、统计分析、评测报告等材料。</w:t>
      </w:r>
    </w:p>
    <w:p w14:paraId="59AA095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考核要求和扣分标准如下：</w:t>
      </w:r>
    </w:p>
    <w:p w14:paraId="0E4770B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（1）日常检查工作情况考核（分值10分）</w:t>
      </w:r>
    </w:p>
    <w:p w14:paraId="365B85A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①逾期未进行日常检查的，每个站扣1分；</w:t>
      </w:r>
    </w:p>
    <w:p w14:paraId="44BF470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②逾期超过10天仍未进行日常检查的，每个站的扣5分；</w:t>
      </w:r>
    </w:p>
    <w:p w14:paraId="7B78C3C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③日常检查工作事项未完成的，每发现一项扣2分；</w:t>
      </w:r>
    </w:p>
    <w:p w14:paraId="3A381AA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④日常检查弄虚作假的，每发现一次扣10分。</w:t>
      </w:r>
    </w:p>
    <w:p w14:paraId="37BE928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（2）材料和报告提交情况考核（分值10分）</w:t>
      </w:r>
    </w:p>
    <w:p w14:paraId="30FF1B2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①逾期提交的每次扣1分；</w:t>
      </w:r>
    </w:p>
    <w:p w14:paraId="557F21E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②逾期超过5天仍未提交的扣5分；</w:t>
      </w:r>
    </w:p>
    <w:p w14:paraId="5BB3282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③材料编制不规范且存在错误每发现一次扣2分；</w:t>
      </w:r>
    </w:p>
    <w:p w14:paraId="46D199B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④提交的材料每少一份扣1分；</w:t>
      </w:r>
    </w:p>
    <w:p w14:paraId="3ADBA4C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⑤提交的材料报告作假的，每发现一次扣5分。</w:t>
      </w:r>
    </w:p>
    <w:p w14:paraId="1536E9F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3.应急及重大活动保障运维情况考核（10分）</w:t>
      </w:r>
    </w:p>
    <w:p w14:paraId="27DC6D1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中标人应根据实际的应急及重大活动保障运维需求，按要求完成运维保障服务，并提交相应的材料、报表、预案、措施等材料。</w:t>
      </w:r>
    </w:p>
    <w:p w14:paraId="58EB285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考核要求和扣分标准如下：</w:t>
      </w:r>
    </w:p>
    <w:p w14:paraId="6D4C25F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（1）材料和报告提交情况考核（分值5分）</w:t>
      </w:r>
    </w:p>
    <w:p w14:paraId="51B0D74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①逾期提交的每次扣1分；</w:t>
      </w:r>
    </w:p>
    <w:p w14:paraId="30761B6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②逾期超过5天仍未提交的扣3分；</w:t>
      </w:r>
    </w:p>
    <w:p w14:paraId="7AFEF76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③材料编制不规范且存在错误每发现一次扣2分；</w:t>
      </w:r>
    </w:p>
    <w:p w14:paraId="60BB953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④提交的材料每少一份扣1分；</w:t>
      </w:r>
    </w:p>
    <w:p w14:paraId="43B8BC4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⑤提交的材料报告作假的，每发现一次扣5分。</w:t>
      </w:r>
    </w:p>
    <w:p w14:paraId="57ED5EC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（2）应急维护及重大活动保障工作情况考核（分值5分）</w:t>
      </w:r>
    </w:p>
    <w:p w14:paraId="2FA2E7C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①未做好应急维护工作的，每次扣1分；</w:t>
      </w:r>
    </w:p>
    <w:p w14:paraId="0E4828E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②未按时完成灾后恢复工作的，每次扣2分；</w:t>
      </w:r>
    </w:p>
    <w:p w14:paraId="134F60A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③重大活动保障提供的服务不到位，每次扣1分；</w:t>
      </w:r>
    </w:p>
    <w:p w14:paraId="4A43B9D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④未做好专项巡检工作的，每次扣2分。</w:t>
      </w:r>
    </w:p>
    <w:p w14:paraId="7CAE5261">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4.故障排查及维修服务情况考核（20分）</w:t>
      </w:r>
    </w:p>
    <w:p w14:paraId="2F4AB98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中标人应根据设备故障处置维修响应级别规定的时间及时进行故障排查维修，并按要求提供相关故障排查分析、解决、处理等报告材料。</w:t>
      </w:r>
    </w:p>
    <w:p w14:paraId="064B996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考核要求和扣分标准如下：</w:t>
      </w:r>
    </w:p>
    <w:p w14:paraId="2807156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（1）故障排查及维修服务工作情况考核（分值10分）</w:t>
      </w:r>
    </w:p>
    <w:p w14:paraId="000F653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①故障发生后响应不及时的，每次扣1分；</w:t>
      </w:r>
    </w:p>
    <w:p w14:paraId="2CB682D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②故障发生后未按要求到达现场处理的，每次扣2分；</w:t>
      </w:r>
    </w:p>
    <w:p w14:paraId="74CC7840">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③故障发生后未按要求处理和解决故障的，每次扣3分；</w:t>
      </w:r>
    </w:p>
    <w:p w14:paraId="6A18DF3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（2）故障材料、报告提交情况考核（分值10分）</w:t>
      </w:r>
    </w:p>
    <w:p w14:paraId="4466160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①逾期提交的每次扣1分；</w:t>
      </w:r>
    </w:p>
    <w:p w14:paraId="6589792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②逾期超过5天仍未提交的扣3分；</w:t>
      </w:r>
    </w:p>
    <w:p w14:paraId="0F091A3D">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③材料编制不规范且存在错误每发现一次扣2分；</w:t>
      </w:r>
    </w:p>
    <w:p w14:paraId="333A587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④提交的材料报告作假的，每发现一次扣5分。</w:t>
      </w:r>
    </w:p>
    <w:p w14:paraId="4DA434C3">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5.运维服务抽查考核（10分）</w:t>
      </w:r>
    </w:p>
    <w:p w14:paraId="15E5A93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成交人应根据服务要求及时处理好故障问题，保证设备系统运行完好率，采购人抽查设备的完好率。</w:t>
      </w:r>
    </w:p>
    <w:p w14:paraId="31EB6E1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考核要求和扣分标准如下：</w:t>
      </w:r>
    </w:p>
    <w:p w14:paraId="3CEF1A5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（1）全年设备完好率考核（分值10分）</w:t>
      </w:r>
    </w:p>
    <w:p w14:paraId="66D26DB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①中标人每个季度上报设备完好率，完好率低于90%的，每次扣1分；</w:t>
      </w:r>
    </w:p>
    <w:p w14:paraId="29CC583A">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②经抽查后完好率未达90%的，完好率每下降2个百分点扣1分；</w:t>
      </w:r>
    </w:p>
    <w:p w14:paraId="5F8E0B2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③采购人抽查后每发现一次完好率未达90%的，每次扣2分；</w:t>
      </w:r>
    </w:p>
    <w:p w14:paraId="0248B81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备注：由于进口设备、天线故障及运营商原因导致的网络故障等情况，且经采购人同意后正在维修的故障情况，不计入完好率考核。</w:t>
      </w:r>
    </w:p>
    <w:p w14:paraId="74DC985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6.运维服务态度情况考核（5分）</w:t>
      </w:r>
    </w:p>
    <w:p w14:paraId="6520B18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考核要求和扣分标准如下：</w:t>
      </w:r>
    </w:p>
    <w:p w14:paraId="719E29C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服务态度情况考核（分值5分）</w:t>
      </w:r>
    </w:p>
    <w:p w14:paraId="71DB39E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①服务态度原因发生用户投诉的，每次扣1分；</w:t>
      </w:r>
    </w:p>
    <w:p w14:paraId="244A017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②参与协助配合的服务工作不积极或接受服务任务讨价还价的，每次扣3分；</w:t>
      </w:r>
    </w:p>
    <w:p w14:paraId="46F80E9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③提供维护服务工作态度差，服务热情低的，每次扣1分；</w:t>
      </w:r>
    </w:p>
    <w:p w14:paraId="6472A1B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④不服从采购人管理的，扣5分。</w:t>
      </w:r>
    </w:p>
    <w:p w14:paraId="0F22FB5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7.服务单位遵守规章情况考核（5分）</w:t>
      </w:r>
    </w:p>
    <w:p w14:paraId="33147C0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考核要求和扣分标准如下：</w:t>
      </w:r>
    </w:p>
    <w:p w14:paraId="4B88EFF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遵守规章情况考核（分值10分）</w:t>
      </w:r>
    </w:p>
    <w:p w14:paraId="4AD2E06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①违反安全、保密管理规定的，每次扣2分；</w:t>
      </w:r>
    </w:p>
    <w:p w14:paraId="0253AF85">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②未遵守采购人的规章制度和工作守则的，每次扣1分；</w:t>
      </w:r>
    </w:p>
    <w:p w14:paraId="10490AAF">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③未做好机房环境卫生和安全等日常管理和应急事项的紧急处置，每次扣2分；</w:t>
      </w:r>
    </w:p>
    <w:p w14:paraId="73B126C4">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④安全管理未落实到位的，每次扣1分；</w:t>
      </w:r>
    </w:p>
    <w:p w14:paraId="28DA4097">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仿宋_GB2312" w:hAnsi="宋体" w:eastAsia="仿宋_GB2312" w:cstheme="minorBidi"/>
          <w:kern w:val="2"/>
          <w:sz w:val="32"/>
          <w:szCs w:val="24"/>
          <w:lang w:val="en-US" w:eastAsia="zh-CN" w:bidi="ar-SA"/>
        </w:rPr>
      </w:pPr>
      <w:r>
        <w:rPr>
          <w:rFonts w:hint="eastAsia" w:ascii="仿宋_GB2312" w:hAnsi="宋体" w:eastAsia="仿宋_GB2312" w:cstheme="minorBidi"/>
          <w:kern w:val="2"/>
          <w:sz w:val="32"/>
          <w:szCs w:val="24"/>
          <w:lang w:val="en-US" w:eastAsia="zh-CN" w:bidi="ar-SA"/>
        </w:rPr>
        <w:t>⑤每发现一次违反采购人工作规则的，每次扣2分。</w:t>
      </w:r>
    </w:p>
    <w:p w14:paraId="73378C03">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注：各扣分项累计扣分，扣完为止。</w:t>
      </w:r>
    </w:p>
    <w:p w14:paraId="701D4CAD">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（二）季度考核分数应用</w:t>
      </w:r>
    </w:p>
    <w:p w14:paraId="1EE41146">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w:t>
      </w:r>
      <w:r>
        <w:rPr>
          <w:rFonts w:hint="eastAsia" w:ascii="仿宋_GB2312" w:hAnsi="宋体" w:eastAsia="仿宋_GB2312"/>
          <w:sz w:val="32"/>
          <w:lang w:val="en-US" w:eastAsia="zh-CN"/>
        </w:rPr>
        <w:t>1</w:t>
      </w:r>
      <w:r>
        <w:rPr>
          <w:rFonts w:hint="eastAsia" w:ascii="仿宋_GB2312" w:hAnsi="宋体" w:eastAsia="仿宋_GB2312"/>
          <w:sz w:val="32"/>
          <w:lang w:eastAsia="zh-CN"/>
        </w:rPr>
        <w:t>）季度考核得分在60-79分，部分工作无法满足代维服务工作要求，根据得分确认，低于80分的，每低1分，扣减（返还）当季度代维费用的1%，最多扣减（返还）20%；</w:t>
      </w:r>
    </w:p>
    <w:p w14:paraId="38F4BB9B">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w:t>
      </w:r>
      <w:r>
        <w:rPr>
          <w:rFonts w:hint="eastAsia" w:ascii="仿宋_GB2312" w:hAnsi="宋体" w:eastAsia="仿宋_GB2312"/>
          <w:sz w:val="32"/>
          <w:lang w:val="en-US" w:eastAsia="zh-CN"/>
        </w:rPr>
        <w:t>2</w:t>
      </w:r>
      <w:r>
        <w:rPr>
          <w:rFonts w:hint="eastAsia" w:ascii="仿宋_GB2312" w:hAnsi="宋体" w:eastAsia="仿宋_GB2312"/>
          <w:sz w:val="32"/>
          <w:lang w:eastAsia="zh-CN"/>
        </w:rPr>
        <w:t>）季度考核得分在60分以下的，完全无法满足代维服务工作要求，扣减（返还）当季度全部代维费用。</w:t>
      </w:r>
    </w:p>
    <w:p w14:paraId="3A054CDE">
      <w:pPr>
        <w:ind w:firstLine="640" w:firstLineChars="200"/>
        <w:rPr>
          <w:rFonts w:hint="default" w:ascii="仿宋_GB2312" w:hAnsi="宋体" w:eastAsia="仿宋_GB2312"/>
          <w:color w:val="auto"/>
          <w:sz w:val="32"/>
          <w:lang w:val="en-US" w:eastAsia="zh-CN"/>
        </w:rPr>
      </w:pPr>
      <w:r>
        <w:rPr>
          <w:rFonts w:hint="eastAsia" w:ascii="仿宋_GB2312" w:hAnsi="宋体" w:eastAsia="仿宋_GB2312"/>
          <w:color w:val="auto"/>
          <w:sz w:val="32"/>
          <w:lang w:val="en-US" w:eastAsia="zh-CN"/>
        </w:rPr>
        <w:t>（3）因支付需要，需考核多个季度的考核得分的，依据考核得分平均值计算。</w:t>
      </w:r>
    </w:p>
    <w:p w14:paraId="01F8A41D">
      <w:pPr>
        <w:ind w:firstLine="640" w:firstLineChars="200"/>
        <w:rPr>
          <w:rFonts w:hint="eastAsia" w:ascii="仿宋_GB2312" w:hAnsi="宋体" w:eastAsia="仿宋_GB2312"/>
          <w:sz w:val="32"/>
          <w:lang w:eastAsia="zh-CN"/>
        </w:rPr>
      </w:pPr>
      <w:r>
        <w:rPr>
          <w:rFonts w:hint="eastAsia" w:ascii="仿宋_GB2312" w:hAnsi="宋体" w:eastAsia="仿宋_GB2312"/>
          <w:sz w:val="32"/>
          <w:lang w:eastAsia="zh-CN"/>
        </w:rPr>
        <w:t>（三）其他说明及办法</w:t>
      </w:r>
    </w:p>
    <w:p w14:paraId="7AA2641C">
      <w:pPr>
        <w:ind w:firstLine="640" w:firstLineChars="200"/>
        <w:rPr>
          <w:rFonts w:hint="eastAsia" w:ascii="仿宋_GB2312" w:hAnsi="宋体" w:eastAsia="仿宋_GB2312"/>
          <w:color w:val="auto"/>
          <w:sz w:val="32"/>
          <w:lang w:eastAsia="zh-CN"/>
        </w:rPr>
      </w:pPr>
      <w:r>
        <w:rPr>
          <w:rFonts w:hint="eastAsia" w:ascii="仿宋_GB2312" w:hAnsi="宋体" w:eastAsia="仿宋_GB2312"/>
          <w:sz w:val="32"/>
          <w:lang w:eastAsia="zh-CN"/>
        </w:rPr>
        <w:t>（1）对于季度考核出现1次低于80分的代维服务工作，将对</w:t>
      </w:r>
      <w:r>
        <w:rPr>
          <w:rFonts w:hint="eastAsia" w:ascii="仿宋_GB2312" w:hAnsi="宋体" w:eastAsia="仿宋_GB2312"/>
          <w:color w:val="auto"/>
          <w:sz w:val="32"/>
          <w:lang w:eastAsia="zh-CN"/>
        </w:rPr>
        <w:t>代维单位予以警告；</w:t>
      </w:r>
    </w:p>
    <w:p w14:paraId="7DA8C31F">
      <w:pPr>
        <w:pStyle w:val="2"/>
        <w:rPr>
          <w:rFonts w:hint="eastAsia"/>
          <w:lang w:eastAsia="zh-CN"/>
        </w:rPr>
      </w:pPr>
      <w:r>
        <w:rPr>
          <w:rFonts w:hint="eastAsia" w:ascii="仿宋_GB2312" w:hAnsi="宋体" w:eastAsia="仿宋_GB2312"/>
          <w:color w:val="auto"/>
          <w:sz w:val="32"/>
          <w:lang w:eastAsia="zh-CN"/>
        </w:rPr>
        <w:t>（</w:t>
      </w:r>
      <w:r>
        <w:rPr>
          <w:rFonts w:hint="eastAsia" w:ascii="仿宋_GB2312" w:hAnsi="宋体" w:eastAsia="仿宋_GB2312"/>
          <w:color w:val="auto"/>
          <w:sz w:val="32"/>
          <w:lang w:val="en-US" w:eastAsia="zh-CN"/>
        </w:rPr>
        <w:t>2</w:t>
      </w:r>
      <w:r>
        <w:rPr>
          <w:rFonts w:hint="eastAsia" w:ascii="仿宋_GB2312" w:hAnsi="宋体" w:eastAsia="仿宋_GB2312"/>
          <w:color w:val="auto"/>
          <w:sz w:val="32"/>
          <w:lang w:eastAsia="zh-CN"/>
        </w:rPr>
        <w:t>）对于季度考核出现一次低于</w:t>
      </w:r>
      <w:r>
        <w:rPr>
          <w:rFonts w:hint="eastAsia" w:ascii="仿宋_GB2312" w:hAnsi="宋体" w:eastAsia="仿宋_GB2312"/>
          <w:color w:val="auto"/>
          <w:sz w:val="32"/>
          <w:lang w:val="en-US" w:eastAsia="zh-CN"/>
        </w:rPr>
        <w:t>60分（不含）或者</w:t>
      </w:r>
      <w:r>
        <w:rPr>
          <w:rFonts w:hint="eastAsia" w:ascii="仿宋_GB2312" w:hAnsi="宋体" w:eastAsia="仿宋_GB2312"/>
          <w:color w:val="auto"/>
          <w:sz w:val="32"/>
          <w:lang w:eastAsia="zh-CN"/>
        </w:rPr>
        <w:t>2次低于80分的情况，我局有权终止合同，因此产生的费用和损失由运维服务提供方承担。</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34E9B"/>
    <w:multiLevelType w:val="singleLevel"/>
    <w:tmpl w:val="83934E9B"/>
    <w:lvl w:ilvl="0" w:tentative="0">
      <w:start w:val="2"/>
      <w:numFmt w:val="chineseCounting"/>
      <w:suff w:val="nothing"/>
      <w:lvlText w:val="%1、"/>
      <w:lvlJc w:val="left"/>
      <w:rPr>
        <w:rFonts w:hint="eastAsia"/>
      </w:rPr>
    </w:lvl>
  </w:abstractNum>
  <w:abstractNum w:abstractNumId="1">
    <w:nsid w:val="EE4573CB"/>
    <w:multiLevelType w:val="singleLevel"/>
    <w:tmpl w:val="EE4573C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A4960"/>
    <w:rsid w:val="009E5D12"/>
    <w:rsid w:val="011C4DC4"/>
    <w:rsid w:val="06F85498"/>
    <w:rsid w:val="08A651A0"/>
    <w:rsid w:val="0B3618E8"/>
    <w:rsid w:val="0B686D00"/>
    <w:rsid w:val="0E225E56"/>
    <w:rsid w:val="11AA5444"/>
    <w:rsid w:val="2B390AE3"/>
    <w:rsid w:val="3A5A4960"/>
    <w:rsid w:val="3A75499F"/>
    <w:rsid w:val="4A0177FA"/>
    <w:rsid w:val="4DDA268E"/>
    <w:rsid w:val="4E8B520A"/>
    <w:rsid w:val="53931D15"/>
    <w:rsid w:val="54F014E4"/>
    <w:rsid w:val="55197C6D"/>
    <w:rsid w:val="5554713B"/>
    <w:rsid w:val="59A22C71"/>
    <w:rsid w:val="5A681D1E"/>
    <w:rsid w:val="5CCD45A9"/>
    <w:rsid w:val="5CFC3B9C"/>
    <w:rsid w:val="5E950148"/>
    <w:rsid w:val="607A2BAF"/>
    <w:rsid w:val="63394489"/>
    <w:rsid w:val="667C3505"/>
    <w:rsid w:val="752D0A7E"/>
    <w:rsid w:val="780350B0"/>
    <w:rsid w:val="78405364"/>
    <w:rsid w:val="7D961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99"/>
    <w:pPr>
      <w:ind w:firstLine="420" w:firstLineChars="200"/>
    </w:pPr>
  </w:style>
  <w:style w:type="paragraph" w:styleId="3">
    <w:name w:val="footer"/>
    <w:basedOn w:val="1"/>
    <w:qFormat/>
    <w:uiPriority w:val="99"/>
    <w:pPr>
      <w:jc w:val="center"/>
    </w:pPr>
    <w:rPr>
      <w:sz w:val="21"/>
      <w:szCs w:val="21"/>
    </w:rPr>
  </w:style>
  <w:style w:type="paragraph" w:styleId="4">
    <w:name w:val="header"/>
    <w:basedOn w:val="1"/>
    <w:qFormat/>
    <w:uiPriority w:val="99"/>
    <w:pPr>
      <w:pBdr>
        <w:top w:val="none" w:color="000000" w:sz="0" w:space="0"/>
        <w:left w:val="none" w:color="000000" w:sz="0" w:space="0"/>
        <w:bottom w:val="none" w:color="000000" w:sz="0" w:space="0"/>
        <w:right w:val="none" w:color="000000" w:sz="0" w:space="0"/>
      </w:pBdr>
      <w:tabs>
        <w:tab w:val="center" w:pos="4153"/>
        <w:tab w:val="right" w:pos="8306"/>
      </w:tabs>
      <w:snapToGrid w:val="0"/>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customStyle="1" w:styleId="9">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1718</Words>
  <Characters>1857</Characters>
  <Lines>0</Lines>
  <Paragraphs>0</Paragraphs>
  <TotalTime>5</TotalTime>
  <ScaleCrop>false</ScaleCrop>
  <LinksUpToDate>false</LinksUpToDate>
  <CharactersWithSpaces>1862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2022-11-02T00:24:00Z</dcterms:created>
  <dc:creator>wxd007</dc:creator>
  <cp:lastModifiedBy>谢剑平</cp:lastModifiedBy>
  <dcterms:modified xsi:type="dcterms:W3CDTF">2025-04-11T08:44:42Z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83E48EFB78664FE4AF83927D4E2C5973_13</vt:lpwstr>
  </property>
  <property fmtid="{D5CDD505-2E9C-101B-9397-08002B2CF9AE}" pid="4" name="KSOTemplateDocerSaveRecord">
    <vt:lpwstr>eyJoZGlkIjoiYmRlZTBkN2JhZDJmZjRlZDM3MTk2NGFmNGE0Y2RlZGEiLCJ1c2VySWQiOiI0MDAwNTM0NDQifQ==</vt:lpwstr>
  </property>
</Properties>
</file>