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autoSpaceDE w:val="0"/>
        <w:autoSpaceDN w:val="0"/>
        <w:adjustRightInd w:val="0"/>
        <w:spacing w:line="0" w:lineRule="atLeast"/>
        <w:jc w:val="center"/>
        <w:rPr>
          <w:rFonts w:ascii="方正小标宋简体" w:eastAsia="方正小标宋简体" w:cs="宋体"/>
          <w:b/>
          <w:kern w:val="0"/>
          <w:sz w:val="44"/>
          <w:szCs w:val="44"/>
        </w:rPr>
      </w:pPr>
      <w:r>
        <w:rPr>
          <w:rFonts w:hint="eastAsia" w:ascii="方正小标宋简体" w:eastAsia="方正小标宋简体" w:cs="宋体"/>
          <w:b/>
          <w:kern w:val="0"/>
          <w:sz w:val="44"/>
          <w:szCs w:val="44"/>
        </w:rPr>
        <w:t>全省无线电监测技术演练服务采购内容及要求</w:t>
      </w:r>
    </w:p>
    <w:p>
      <w:pPr>
        <w:autoSpaceDE w:val="0"/>
        <w:autoSpaceDN w:val="0"/>
        <w:adjustRightInd w:val="0"/>
        <w:ind w:firstLine="2090" w:firstLineChars="1100"/>
        <w:jc w:val="left"/>
        <w:rPr>
          <w:rFonts w:ascii="宋体" w:eastAsia="宋体" w:cs="宋体"/>
          <w:kern w:val="0"/>
          <w:sz w:val="19"/>
          <w:szCs w:val="19"/>
        </w:rPr>
      </w:pPr>
    </w:p>
    <w:p>
      <w:pPr>
        <w:autoSpaceDE w:val="0"/>
        <w:autoSpaceDN w:val="0"/>
        <w:adjustRightInd w:val="0"/>
        <w:ind w:firstLine="2090" w:firstLineChars="1100"/>
        <w:jc w:val="left"/>
        <w:rPr>
          <w:rFonts w:ascii="宋体" w:eastAsia="宋体" w:cs="宋体"/>
          <w:kern w:val="0"/>
          <w:sz w:val="19"/>
          <w:szCs w:val="19"/>
        </w:rPr>
      </w:pPr>
    </w:p>
    <w:p>
      <w:pPr>
        <w:pStyle w:val="9"/>
        <w:numPr>
          <w:ilvl w:val="0"/>
          <w:numId w:val="1"/>
        </w:numPr>
        <w:autoSpaceDE w:val="0"/>
        <w:autoSpaceDN w:val="0"/>
        <w:adjustRightInd w:val="0"/>
        <w:ind w:left="567" w:hanging="142" w:firstLineChars="0"/>
        <w:jc w:val="left"/>
        <w:rPr>
          <w:rFonts w:ascii="黑体" w:hAnsi="黑体" w:eastAsia="黑体" w:cs="宋体"/>
          <w:kern w:val="0"/>
          <w:sz w:val="32"/>
          <w:szCs w:val="32"/>
        </w:rPr>
      </w:pPr>
      <w:r>
        <w:rPr>
          <w:rFonts w:hint="eastAsia" w:ascii="黑体" w:hAnsi="黑体" w:eastAsia="黑体" w:cs="宋体"/>
          <w:kern w:val="0"/>
          <w:sz w:val="32"/>
          <w:szCs w:val="32"/>
        </w:rPr>
        <w:t>技术标准与要求</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一、名称及预算</w:t>
            </w:r>
          </w:p>
          <w:p>
            <w:pPr>
              <w:autoSpaceDE w:val="0"/>
              <w:autoSpaceDN w:val="0"/>
              <w:adjustRightInd w:val="0"/>
              <w:spacing w:line="360" w:lineRule="exact"/>
              <w:ind w:leftChars="-67" w:hanging="141" w:hangingChars="50"/>
              <w:rPr>
                <w:rFonts w:ascii="仿宋_GB2312" w:eastAsia="仿宋_GB2312" w:cs="宋体"/>
                <w:b/>
                <w:color w:val="000000" w:themeColor="text1"/>
                <w:kern w:val="0"/>
                <w:sz w:val="28"/>
                <w:szCs w:val="28"/>
                <w14:textFill>
                  <w14:solidFill>
                    <w14:schemeClr w14:val="tx1"/>
                  </w14:solidFill>
                </w14:textFill>
              </w:rPr>
            </w:pPr>
          </w:p>
        </w:tc>
        <w:tc>
          <w:tcPr>
            <w:tcW w:w="7909" w:type="dxa"/>
          </w:tcPr>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1.名称：</w:t>
            </w:r>
            <w:r>
              <w:rPr>
                <w:rFonts w:hint="eastAsia" w:ascii="仿宋_GB2312" w:eastAsia="仿宋_GB2312" w:cs="宋体"/>
                <w:color w:val="000000" w:themeColor="text1"/>
                <w:kern w:val="0"/>
                <w:sz w:val="32"/>
                <w:szCs w:val="32"/>
                <w14:textFill>
                  <w14:solidFill>
                    <w14:schemeClr w14:val="tx1"/>
                  </w14:solidFill>
                </w14:textFill>
              </w:rPr>
              <w:t>全省无线电监测技术演练服务。</w:t>
            </w:r>
          </w:p>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2.限价：最高限价为人民币</w:t>
            </w:r>
            <w:r>
              <w:rPr>
                <w:rFonts w:hint="eastAsia" w:ascii="仿宋_GB2312" w:eastAsia="仿宋_GB2312" w:cs="DejaVuSans"/>
                <w:color w:val="000000" w:themeColor="text1"/>
                <w:kern w:val="0"/>
                <w:sz w:val="32"/>
                <w:szCs w:val="32"/>
                <w:lang w:val="en-US" w:eastAsia="zh-CN"/>
                <w14:textFill>
                  <w14:solidFill>
                    <w14:schemeClr w14:val="tx1"/>
                  </w14:solidFill>
                </w14:textFill>
              </w:rPr>
              <w:t>9.89</w:t>
            </w:r>
            <w:r>
              <w:rPr>
                <w:rFonts w:hint="eastAsia" w:ascii="仿宋_GB2312" w:eastAsia="仿宋_GB2312" w:cs="DejaVuSans"/>
                <w:color w:val="000000" w:themeColor="text1"/>
                <w:kern w:val="0"/>
                <w:sz w:val="32"/>
                <w:szCs w:val="32"/>
                <w14:textFill>
                  <w14:solidFill>
                    <w14:schemeClr w14:val="tx1"/>
                  </w14:solidFill>
                </w14:textFill>
              </w:rPr>
              <w:t>万元(包括但不限于</w:t>
            </w:r>
            <w:r>
              <w:rPr>
                <w:rFonts w:hint="eastAsia" w:ascii="仿宋_GB2312" w:eastAsia="仿宋_GB2312" w:cs="宋体"/>
                <w:color w:val="000000" w:themeColor="text1"/>
                <w:kern w:val="0"/>
                <w:sz w:val="32"/>
                <w:szCs w:val="32"/>
                <w14:textFill>
                  <w14:solidFill>
                    <w14:schemeClr w14:val="tx1"/>
                  </w14:solidFill>
                </w14:textFill>
              </w:rPr>
              <w:t>为</w:t>
            </w:r>
            <w:r>
              <w:rPr>
                <w:rFonts w:hint="eastAsia" w:ascii="仿宋_GB2312" w:eastAsia="仿宋_GB2312" w:cs="宋体"/>
                <w:color w:val="000000" w:themeColor="text1"/>
                <w:kern w:val="0"/>
                <w:sz w:val="32"/>
                <w:szCs w:val="32"/>
                <w:lang w:eastAsia="zh-CN"/>
                <w14:textFill>
                  <w14:solidFill>
                    <w14:schemeClr w14:val="tx1"/>
                  </w14:solidFill>
                </w14:textFill>
              </w:rPr>
              <w:t>组织、</w:t>
            </w:r>
            <w:r>
              <w:rPr>
                <w:rFonts w:hint="eastAsia" w:ascii="仿宋_GB2312" w:eastAsia="仿宋_GB2312" w:cs="宋体"/>
                <w:color w:val="000000" w:themeColor="text1"/>
                <w:kern w:val="0"/>
                <w:sz w:val="32"/>
                <w:szCs w:val="32"/>
                <w14:textFill>
                  <w14:solidFill>
                    <w14:schemeClr w14:val="tx1"/>
                  </w14:solidFill>
                </w14:textFill>
              </w:rPr>
              <w:t>保障全省无线电监测技术演练</w:t>
            </w:r>
            <w:r>
              <w:rPr>
                <w:rFonts w:hint="eastAsia" w:ascii="仿宋_GB2312" w:eastAsia="仿宋_GB2312" w:cs="宋体"/>
                <w:color w:val="000000" w:themeColor="text1"/>
                <w:kern w:val="0"/>
                <w:sz w:val="32"/>
                <w:szCs w:val="32"/>
                <w:lang w:eastAsia="zh-CN"/>
                <w14:textFill>
                  <w14:solidFill>
                    <w14:schemeClr w14:val="tx1"/>
                  </w14:solidFill>
                </w14:textFill>
              </w:rPr>
              <w:t>所发生的：服务演练的</w:t>
            </w:r>
            <w:r>
              <w:rPr>
                <w:rFonts w:hint="eastAsia" w:ascii="仿宋_GB2312" w:hAnsi="黑体" w:eastAsia="仿宋_GB2312" w:cs="宋体"/>
                <w:color w:val="000000" w:themeColor="text1"/>
                <w:kern w:val="0"/>
                <w:sz w:val="32"/>
                <w:szCs w:val="32"/>
                <w14:textFill>
                  <w14:solidFill>
                    <w14:schemeClr w14:val="tx1"/>
                  </w14:solidFill>
                </w14:textFill>
              </w:rPr>
              <w:t>专业</w:t>
            </w:r>
            <w:r>
              <w:rPr>
                <w:rFonts w:hint="eastAsia" w:ascii="仿宋_GB2312" w:hAnsi="黑体" w:eastAsia="仿宋_GB2312" w:cs="宋体"/>
                <w:color w:val="000000" w:themeColor="text1"/>
                <w:kern w:val="0"/>
                <w:sz w:val="32"/>
                <w:szCs w:val="32"/>
                <w:lang w:eastAsia="zh-CN"/>
                <w14:textFill>
                  <w14:solidFill>
                    <w14:schemeClr w14:val="tx1"/>
                  </w14:solidFill>
                </w14:textFill>
              </w:rPr>
              <w:t>演练</w:t>
            </w:r>
            <w:r>
              <w:rPr>
                <w:rFonts w:hint="eastAsia" w:ascii="仿宋_GB2312" w:hAnsi="黑体" w:eastAsia="仿宋_GB2312" w:cs="宋体"/>
                <w:color w:val="000000" w:themeColor="text1"/>
                <w:kern w:val="0"/>
                <w:sz w:val="32"/>
                <w:szCs w:val="32"/>
                <w14:textFill>
                  <w14:solidFill>
                    <w14:schemeClr w14:val="tx1"/>
                  </w14:solidFill>
                </w14:textFill>
              </w:rPr>
              <w:t>器材</w:t>
            </w:r>
            <w:r>
              <w:rPr>
                <w:rFonts w:hint="eastAsia" w:ascii="仿宋_GB2312" w:eastAsia="仿宋_GB2312" w:cs="宋体"/>
                <w:color w:val="000000" w:themeColor="text1"/>
                <w:kern w:val="0"/>
                <w:sz w:val="32"/>
                <w:szCs w:val="32"/>
                <w:lang w:eastAsia="zh-CN"/>
                <w14:textFill>
                  <w14:solidFill>
                    <w14:schemeClr w14:val="tx1"/>
                  </w14:solidFill>
                </w14:textFill>
              </w:rPr>
              <w:t>、指挥调度及</w:t>
            </w:r>
            <w:r>
              <w:rPr>
                <w:rFonts w:hint="eastAsia" w:ascii="仿宋_GB2312" w:hAnsi="黑体" w:eastAsia="仿宋_GB2312" w:cs="宋体"/>
                <w:color w:val="000000" w:themeColor="text1"/>
                <w:kern w:val="0"/>
                <w:sz w:val="32"/>
                <w:szCs w:val="32"/>
                <w14:textFill>
                  <w14:solidFill>
                    <w14:schemeClr w14:val="tx1"/>
                  </w14:solidFill>
                </w14:textFill>
              </w:rPr>
              <w:t>辅助器材</w:t>
            </w:r>
            <w:r>
              <w:rPr>
                <w:rFonts w:hint="eastAsia" w:ascii="仿宋_GB2312" w:eastAsia="仿宋_GB2312" w:cs="宋体"/>
                <w:color w:val="000000" w:themeColor="text1"/>
                <w:kern w:val="0"/>
                <w:sz w:val="32"/>
                <w:szCs w:val="32"/>
                <w:lang w:eastAsia="zh-CN"/>
                <w14:textFill>
                  <w14:solidFill>
                    <w14:schemeClr w14:val="tx1"/>
                  </w14:solidFill>
                </w14:textFill>
              </w:rPr>
              <w:t>等设备租赁费、测试费、差旅费、专家费、资料费、通信费、税费等)</w:t>
            </w:r>
            <w:r>
              <w:rPr>
                <w:rFonts w:hint="eastAsia" w:ascii="仿宋_GB2312" w:eastAsia="仿宋_GB2312" w:cs="DejaVuSans"/>
                <w:color w:val="000000" w:themeColor="text1"/>
                <w:kern w:val="0"/>
                <w:sz w:val="32"/>
                <w:szCs w:val="32"/>
                <w14:textFill>
                  <w14:solidFill>
                    <w14:schemeClr w14:val="tx1"/>
                  </w14:solidFill>
                </w14:textFill>
              </w:rPr>
              <w:t>，凡超出最高限价的，一律视为无效响应。</w:t>
            </w:r>
          </w:p>
          <w:p>
            <w:pPr>
              <w:autoSpaceDE w:val="0"/>
              <w:autoSpaceDN w:val="0"/>
              <w:adjustRightInd w:val="0"/>
              <w:ind w:left="-2" w:leftChars="-1" w:firstLine="704" w:firstLineChars="220"/>
              <w:rPr>
                <w:rFonts w:ascii="仿宋_GB2312" w:eastAsia="仿宋_GB2312" w:cs="宋体"/>
                <w:b/>
                <w:color w:val="000000" w:themeColor="text1"/>
                <w:kern w:val="0"/>
                <w:sz w:val="28"/>
                <w:szCs w:val="28"/>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响应报价应为人民币含税包干价，包括可预见和不可预见的一切费用。采购人不再另行支付除成交金额以外的任何费用。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988" w:type="dxa"/>
            <w:vAlign w:val="center"/>
          </w:tcPr>
          <w:p>
            <w:pPr>
              <w:autoSpaceDE w:val="0"/>
              <w:autoSpaceDN w:val="0"/>
              <w:adjustRightInd w:val="0"/>
              <w:spacing w:line="360" w:lineRule="exact"/>
              <w:ind w:left="-143" w:leftChars="-68"/>
              <w:rPr>
                <w:rFonts w:ascii="仿宋_GB2312" w:eastAsia="仿宋_GB2312" w:cs="宋体"/>
                <w:b/>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二、主要目标</w:t>
            </w:r>
          </w:p>
        </w:tc>
        <w:tc>
          <w:tcPr>
            <w:tcW w:w="7909" w:type="dxa"/>
          </w:tcPr>
          <w:p>
            <w:pPr>
              <w:autoSpaceDE w:val="0"/>
              <w:autoSpaceDN w:val="0"/>
              <w:adjustRightInd w:val="0"/>
              <w:ind w:left="-2" w:leftChars="-1" w:firstLine="704" w:firstLineChars="220"/>
              <w:rPr>
                <w:rFonts w:ascii="仿宋_GB2312" w:eastAsia="仿宋_GB2312" w:cs="宋体"/>
                <w:b/>
                <w:color w:val="000000" w:themeColor="text1"/>
                <w:kern w:val="0"/>
                <w:sz w:val="28"/>
                <w:szCs w:val="28"/>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根据《全国无线电监测技术演练实施办法》（国无办函〔</w:t>
            </w:r>
            <w:r>
              <w:rPr>
                <w:rFonts w:ascii="仿宋_GB2312" w:eastAsia="仿宋_GB2312" w:cs="宋体"/>
                <w:color w:val="000000" w:themeColor="text1"/>
                <w:kern w:val="0"/>
                <w:sz w:val="32"/>
                <w:szCs w:val="32"/>
                <w14:textFill>
                  <w14:solidFill>
                    <w14:schemeClr w14:val="tx1"/>
                  </w14:solidFill>
                </w14:textFill>
              </w:rPr>
              <w:t>2020〕5号）要求，结合福建省无线电管理工作和电磁频谱管控工作实际，</w:t>
            </w:r>
            <w:r>
              <w:rPr>
                <w:rFonts w:hint="eastAsia" w:ascii="仿宋_GB2312" w:eastAsia="仿宋_GB2312" w:cs="宋体"/>
                <w:color w:val="000000" w:themeColor="text1"/>
                <w:kern w:val="0"/>
                <w:sz w:val="32"/>
                <w:szCs w:val="32"/>
                <w14:textFill>
                  <w14:solidFill>
                    <w14:schemeClr w14:val="tx1"/>
                  </w14:solidFill>
                </w14:textFill>
              </w:rPr>
              <w:t>组织开展</w:t>
            </w:r>
            <w:r>
              <w:rPr>
                <w:rFonts w:ascii="仿宋_GB2312" w:eastAsia="仿宋_GB2312" w:cs="宋体"/>
                <w:color w:val="000000" w:themeColor="text1"/>
                <w:kern w:val="0"/>
                <w:sz w:val="32"/>
                <w:szCs w:val="32"/>
                <w14:textFill>
                  <w14:solidFill>
                    <w14:schemeClr w14:val="tx1"/>
                  </w14:solidFill>
                </w14:textFill>
              </w:rPr>
              <w:t>福建</w:t>
            </w:r>
            <w:r>
              <w:rPr>
                <w:rFonts w:hint="eastAsia" w:ascii="仿宋_GB2312" w:eastAsia="仿宋_GB2312" w:cs="宋体"/>
                <w:color w:val="000000" w:themeColor="text1"/>
                <w:kern w:val="0"/>
                <w:sz w:val="32"/>
                <w:szCs w:val="32"/>
                <w:lang w:eastAsia="zh-CN"/>
                <w14:textFill>
                  <w14:solidFill>
                    <w14:schemeClr w14:val="tx1"/>
                  </w14:solidFill>
                </w14:textFill>
              </w:rPr>
              <w:t>全</w:t>
            </w:r>
            <w:r>
              <w:rPr>
                <w:rFonts w:ascii="仿宋_GB2312" w:eastAsia="仿宋_GB2312" w:cs="宋体"/>
                <w:color w:val="000000" w:themeColor="text1"/>
                <w:kern w:val="0"/>
                <w:sz w:val="32"/>
                <w:szCs w:val="32"/>
                <w14:textFill>
                  <w14:solidFill>
                    <w14:schemeClr w14:val="tx1"/>
                  </w14:solidFill>
                </w14:textFill>
              </w:rPr>
              <w:t>省无线电监测技术演练（具体时间以采购人最终确定的为准），提高</w:t>
            </w:r>
            <w:r>
              <w:rPr>
                <w:rFonts w:hint="eastAsia" w:ascii="仿宋_GB2312" w:eastAsia="仿宋_GB2312" w:cs="宋体"/>
                <w:color w:val="000000" w:themeColor="text1"/>
                <w:kern w:val="0"/>
                <w:sz w:val="32"/>
                <w:szCs w:val="32"/>
                <w14:textFill>
                  <w14:solidFill>
                    <w14:schemeClr w14:val="tx1"/>
                  </w14:solidFill>
                </w14:textFill>
              </w:rPr>
              <w:t>全</w:t>
            </w:r>
            <w:r>
              <w:rPr>
                <w:rFonts w:ascii="仿宋_GB2312" w:eastAsia="仿宋_GB2312" w:cs="宋体"/>
                <w:color w:val="000000" w:themeColor="text1"/>
                <w:kern w:val="0"/>
                <w:sz w:val="32"/>
                <w:szCs w:val="32"/>
                <w14:textFill>
                  <w14:solidFill>
                    <w14:schemeClr w14:val="tx1"/>
                  </w14:solidFill>
                </w14:textFill>
              </w:rPr>
              <w:t>省无线电监测队伍技术能力和</w:t>
            </w:r>
            <w:r>
              <w:rPr>
                <w:rFonts w:hint="eastAsia" w:ascii="仿宋_GB2312" w:eastAsia="仿宋_GB2312" w:cs="宋体"/>
                <w:color w:val="000000" w:themeColor="text1"/>
                <w:kern w:val="0"/>
                <w:sz w:val="32"/>
                <w:szCs w:val="32"/>
                <w14:textFill>
                  <w14:solidFill>
                    <w14:schemeClr w14:val="tx1"/>
                  </w14:solidFill>
                </w14:textFill>
              </w:rPr>
              <w:t>无线电安全</w:t>
            </w:r>
            <w:r>
              <w:rPr>
                <w:rFonts w:ascii="仿宋_GB2312" w:eastAsia="仿宋_GB2312" w:cs="宋体"/>
                <w:color w:val="000000" w:themeColor="text1"/>
                <w:kern w:val="0"/>
                <w:sz w:val="32"/>
                <w:szCs w:val="32"/>
                <w14:textFill>
                  <w14:solidFill>
                    <w14:schemeClr w14:val="tx1"/>
                  </w14:solidFill>
                </w14:textFill>
              </w:rPr>
              <w:t>保障能力。全省无线电监测技术演练</w:t>
            </w:r>
            <w:r>
              <w:rPr>
                <w:rFonts w:hint="eastAsia" w:ascii="仿宋_GB2312" w:eastAsia="仿宋_GB2312" w:cs="宋体"/>
                <w:color w:val="000000" w:themeColor="text1"/>
                <w:kern w:val="0"/>
                <w:sz w:val="32"/>
                <w:szCs w:val="32"/>
                <w:lang w:eastAsia="zh-CN"/>
                <w14:textFill>
                  <w14:solidFill>
                    <w14:schemeClr w14:val="tx1"/>
                  </w14:solidFill>
                </w14:textFill>
              </w:rPr>
              <w:t>按照全国片区无线电监测技术演练方案，</w:t>
            </w:r>
            <w:r>
              <w:rPr>
                <w:rFonts w:ascii="仿宋_GB2312" w:eastAsia="仿宋_GB2312" w:cs="宋体"/>
                <w:color w:val="000000" w:themeColor="text1"/>
                <w:kern w:val="0"/>
                <w:sz w:val="32"/>
                <w:szCs w:val="32"/>
                <w14:textFill>
                  <w14:solidFill>
                    <w14:schemeClr w14:val="tx1"/>
                  </w14:solidFill>
                </w14:textFill>
              </w:rPr>
              <w:t>拟设置包括但不限于</w:t>
            </w:r>
            <w:r>
              <w:rPr>
                <w:rFonts w:hint="eastAsia" w:ascii="仿宋_GB2312" w:eastAsia="仿宋_GB2312" w:cs="宋体"/>
                <w:color w:val="000000" w:themeColor="text1"/>
                <w:kern w:val="0"/>
                <w:sz w:val="32"/>
                <w:szCs w:val="32"/>
                <w14:textFill>
                  <w14:solidFill>
                    <w14:schemeClr w14:val="tx1"/>
                  </w14:solidFill>
                </w14:textFill>
              </w:rPr>
              <w:t>无线电基础考试、非法设台甄别及徒步</w:t>
            </w:r>
            <w:r>
              <w:rPr>
                <w:rFonts w:ascii="仿宋_GB2312" w:eastAsia="仿宋_GB2312" w:cs="宋体"/>
                <w:color w:val="000000" w:themeColor="text1"/>
                <w:kern w:val="0"/>
                <w:sz w:val="32"/>
                <w:szCs w:val="32"/>
                <w14:textFill>
                  <w14:solidFill>
                    <w14:schemeClr w14:val="tx1"/>
                  </w14:solidFill>
                </w14:textFill>
              </w:rPr>
              <w:t>查找和</w:t>
            </w:r>
            <w:r>
              <w:rPr>
                <w:rFonts w:hint="eastAsia" w:ascii="仿宋_GB2312" w:eastAsia="仿宋_GB2312" w:cs="宋体"/>
                <w:color w:val="000000" w:themeColor="text1"/>
                <w:kern w:val="0"/>
                <w:sz w:val="32"/>
                <w:szCs w:val="32"/>
                <w14:textFill>
                  <w14:solidFill>
                    <w14:schemeClr w14:val="tx1"/>
                  </w14:solidFill>
                </w14:textFill>
              </w:rPr>
              <w:t>专项监测排查（考试无线电安全保障）</w:t>
            </w:r>
            <w:r>
              <w:rPr>
                <w:rFonts w:ascii="仿宋_GB2312" w:eastAsia="仿宋_GB2312" w:cs="宋体"/>
                <w:color w:val="000000" w:themeColor="text1"/>
                <w:kern w:val="0"/>
                <w:sz w:val="32"/>
                <w:szCs w:val="32"/>
                <w14:textFill>
                  <w14:solidFill>
                    <w14:schemeClr w14:val="tx1"/>
                  </w14:solidFill>
                </w14:textFill>
              </w:rPr>
              <w:t>等</w:t>
            </w:r>
            <w:r>
              <w:rPr>
                <w:rFonts w:hint="eastAsia" w:ascii="仿宋_GB2312" w:eastAsia="仿宋_GB2312" w:cs="宋体"/>
                <w:color w:val="000000" w:themeColor="text1"/>
                <w:kern w:val="0"/>
                <w:sz w:val="32"/>
                <w:szCs w:val="32"/>
                <w14:textFill>
                  <w14:solidFill>
                    <w14:schemeClr w14:val="tx1"/>
                  </w14:solidFill>
                </w14:textFill>
              </w:rPr>
              <w:t>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rPr>
                <w:rFonts w:ascii="仿宋_GB2312" w:eastAsia="仿宋_GB2312" w:cs="宋体"/>
                <w:b/>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三、服务内容</w:t>
            </w:r>
          </w:p>
        </w:tc>
        <w:tc>
          <w:tcPr>
            <w:tcW w:w="7909" w:type="dxa"/>
          </w:tcPr>
          <w:p>
            <w:pPr>
              <w:autoSpaceDE w:val="0"/>
              <w:autoSpaceDN w:val="0"/>
              <w:adjustRightInd w:val="0"/>
              <w:ind w:left="-2" w:leftChars="-1" w:firstLine="681" w:firstLineChars="213"/>
              <w:rPr>
                <w:rFonts w:hint="eastAsia" w:ascii="仿宋_GB2312" w:hAnsi="黑体" w:eastAsia="仿宋_GB2312" w:cs="宋体"/>
                <w:color w:val="000000" w:themeColor="text1"/>
                <w:kern w:val="0"/>
                <w:sz w:val="32"/>
                <w:szCs w:val="32"/>
                <w14:textFill>
                  <w14:solidFill>
                    <w14:schemeClr w14:val="tx1"/>
                  </w14:solidFill>
                </w14:textFill>
              </w:rPr>
            </w:pPr>
            <w:r>
              <w:rPr>
                <w:rFonts w:hint="eastAsia" w:ascii="仿宋_GB2312" w:hAnsi="黑体" w:eastAsia="仿宋_GB2312" w:cs="宋体"/>
                <w:color w:val="000000" w:themeColor="text1"/>
                <w:kern w:val="0"/>
                <w:sz w:val="32"/>
                <w:szCs w:val="32"/>
                <w14:textFill>
                  <w14:solidFill>
                    <w14:schemeClr w14:val="tx1"/>
                  </w14:solidFill>
                </w14:textFill>
              </w:rPr>
              <w:t>组织完成演练活动，包括演练活动全流程（活动筹备、正式演练及后期收尾工作）所需的演练选址、组织、指挥调度、技术支持，提供专业器材设备供演练使用，演练场景设计及搭建、演练裁判及辅助人员、演练</w:t>
            </w:r>
            <w:r>
              <w:rPr>
                <w:rFonts w:hint="eastAsia" w:ascii="仿宋_GB2312" w:hAnsi="黑体" w:eastAsia="仿宋_GB2312" w:cs="宋体"/>
                <w:color w:val="000000" w:themeColor="text1"/>
                <w:kern w:val="0"/>
                <w:sz w:val="32"/>
                <w:szCs w:val="32"/>
                <w:lang w:eastAsia="zh-CN"/>
                <w14:textFill>
                  <w14:solidFill>
                    <w14:schemeClr w14:val="tx1"/>
                  </w14:solidFill>
                </w14:textFill>
              </w:rPr>
              <w:t>现场</w:t>
            </w:r>
            <w:r>
              <w:rPr>
                <w:rFonts w:hint="eastAsia" w:ascii="仿宋_GB2312" w:hAnsi="黑体" w:eastAsia="仿宋_GB2312" w:cs="宋体"/>
                <w:color w:val="000000" w:themeColor="text1"/>
                <w:kern w:val="0"/>
                <w:sz w:val="32"/>
                <w:szCs w:val="32"/>
                <w14:textFill>
                  <w14:solidFill>
                    <w14:schemeClr w14:val="tx1"/>
                  </w14:solidFill>
                </w14:textFill>
              </w:rPr>
              <w:t>音视频录制，后勤保障、辅助设备器材提供以及信息技术服务等工作。</w:t>
            </w:r>
          </w:p>
          <w:p>
            <w:pPr>
              <w:pStyle w:val="2"/>
              <w:spacing w:before="0" w:after="0" w:line="360" w:lineRule="auto"/>
              <w:ind w:firstLine="643" w:firstLineChars="200"/>
              <w:rPr>
                <w:rFonts w:hint="eastAsia" w:ascii="楷体" w:hAnsi="楷体" w:eastAsia="楷体" w:cs="宋体"/>
                <w:bCs w:val="0"/>
              </w:rPr>
            </w:pPr>
            <w:r>
              <w:rPr>
                <w:rFonts w:hint="eastAsia" w:ascii="仿宋_GB2312" w:eastAsia="仿宋_GB2312" w:cs="DejaVuSans"/>
                <w:color w:val="000000" w:themeColor="text1"/>
                <w:kern w:val="0"/>
                <w14:textFill>
                  <w14:solidFill>
                    <w14:schemeClr w14:val="tx1"/>
                  </w14:solidFill>
                </w14:textFill>
              </w:rPr>
              <w:t>1.</w:t>
            </w:r>
            <w:r>
              <w:rPr>
                <w:rFonts w:hint="eastAsia" w:ascii="楷体" w:hAnsi="楷体" w:eastAsia="楷体" w:cs="宋体"/>
                <w:b w:val="0"/>
              </w:rPr>
              <w:t xml:space="preserve"> 演练组织</w:t>
            </w:r>
          </w:p>
          <w:p>
            <w:pPr>
              <w:snapToGrid w:val="0"/>
              <w:spacing w:line="360" w:lineRule="auto"/>
              <w:ind w:firstLine="745" w:firstLineChars="233"/>
              <w:rPr>
                <w:rFonts w:hint="eastAsia" w:ascii="仿宋_GB2312" w:hAnsi="宋体" w:eastAsia="仿宋_GB2312" w:cs="宋体"/>
                <w:sz w:val="32"/>
                <w:szCs w:val="32"/>
              </w:rPr>
            </w:pPr>
            <w:r>
              <w:rPr>
                <w:rFonts w:hint="eastAsia" w:ascii="仿宋_GB2312" w:hAnsi="宋体" w:eastAsia="仿宋_GB2312" w:cs="宋体"/>
                <w:sz w:val="32"/>
                <w:szCs w:val="32"/>
              </w:rPr>
              <w:t>策划拟制演练方案和脚本，明确演练内容、演练科目、演练规则、评分标准和演练流程；</w:t>
            </w:r>
          </w:p>
          <w:p>
            <w:pPr>
              <w:snapToGrid w:val="0"/>
              <w:spacing w:line="360" w:lineRule="auto"/>
              <w:ind w:firstLine="745" w:firstLineChars="233"/>
              <w:rPr>
                <w:rFonts w:hint="eastAsia" w:ascii="仿宋_GB2312" w:hAnsi="宋体" w:eastAsia="仿宋_GB2312" w:cs="宋体"/>
                <w:sz w:val="32"/>
                <w:szCs w:val="32"/>
              </w:rPr>
            </w:pPr>
            <w:r>
              <w:rPr>
                <w:rFonts w:hint="eastAsia" w:ascii="仿宋_GB2312" w:hAnsi="宋体" w:eastAsia="仿宋_GB2312" w:cs="宋体"/>
                <w:sz w:val="32"/>
                <w:szCs w:val="32"/>
              </w:rPr>
              <w:t>负责演练场地的勘查选址布置，协调演练候选场地及演练</w:t>
            </w:r>
            <w:r>
              <w:rPr>
                <w:rFonts w:ascii="仿宋_GB2312" w:hAnsi="宋体" w:eastAsia="仿宋_GB2312" w:cs="宋体"/>
                <w:sz w:val="32"/>
                <w:szCs w:val="32"/>
              </w:rPr>
              <w:t>食宿场所</w:t>
            </w:r>
            <w:r>
              <w:rPr>
                <w:rFonts w:hint="eastAsia" w:ascii="仿宋_GB2312" w:hAnsi="宋体" w:eastAsia="仿宋_GB2312" w:cs="宋体"/>
                <w:sz w:val="32"/>
                <w:szCs w:val="32"/>
              </w:rPr>
              <w:t>酒店；</w:t>
            </w:r>
          </w:p>
          <w:p>
            <w:pPr>
              <w:snapToGrid w:val="0"/>
              <w:spacing w:line="360" w:lineRule="auto"/>
              <w:ind w:firstLine="745" w:firstLineChars="233"/>
              <w:rPr>
                <w:rFonts w:hint="eastAsia" w:ascii="仿宋_GB2312" w:hAnsi="宋体" w:eastAsia="仿宋_GB2312" w:cs="宋体"/>
                <w:sz w:val="32"/>
                <w:szCs w:val="32"/>
              </w:rPr>
            </w:pPr>
            <w:r>
              <w:rPr>
                <w:rFonts w:hint="eastAsia" w:ascii="仿宋_GB2312" w:hAnsi="宋体" w:eastAsia="仿宋_GB2312" w:cs="宋体"/>
                <w:sz w:val="32"/>
                <w:szCs w:val="32"/>
              </w:rPr>
              <w:t>组建演练服务团队负责演练的组织实施和提供技术支持，做好相应的接待和技术支持等</w:t>
            </w:r>
            <w:r>
              <w:rPr>
                <w:rFonts w:ascii="仿宋_GB2312" w:hAnsi="宋体" w:eastAsia="仿宋_GB2312" w:cs="宋体"/>
                <w:sz w:val="32"/>
                <w:szCs w:val="32"/>
              </w:rPr>
              <w:t>服务</w:t>
            </w:r>
            <w:r>
              <w:rPr>
                <w:rFonts w:hint="eastAsia" w:ascii="仿宋_GB2312" w:hAnsi="宋体" w:eastAsia="仿宋_GB2312" w:cs="宋体"/>
                <w:sz w:val="32"/>
                <w:szCs w:val="32"/>
              </w:rPr>
              <w:t>工作，以及复盘分析交流；</w:t>
            </w:r>
          </w:p>
          <w:p>
            <w:pPr>
              <w:snapToGrid w:val="0"/>
              <w:spacing w:line="360" w:lineRule="auto"/>
              <w:ind w:firstLine="745" w:firstLineChars="233"/>
              <w:rPr>
                <w:rFonts w:hint="eastAsia" w:ascii="仿宋_GB2312" w:hAnsi="宋体" w:eastAsia="仿宋_GB2312" w:cs="宋体"/>
                <w:sz w:val="32"/>
                <w:szCs w:val="32"/>
              </w:rPr>
            </w:pPr>
            <w:r>
              <w:rPr>
                <w:rFonts w:hint="eastAsia" w:ascii="仿宋_GB2312" w:hAnsi="宋体" w:eastAsia="仿宋_GB2312" w:cs="宋体"/>
                <w:sz w:val="32"/>
                <w:szCs w:val="32"/>
              </w:rPr>
              <w:t>组建</w:t>
            </w:r>
            <w:r>
              <w:rPr>
                <w:rFonts w:ascii="仿宋_GB2312" w:hAnsi="宋体" w:eastAsia="仿宋_GB2312" w:cs="宋体"/>
                <w:sz w:val="32"/>
                <w:szCs w:val="32"/>
              </w:rPr>
              <w:t>裁判团队</w:t>
            </w:r>
            <w:r>
              <w:rPr>
                <w:rFonts w:hint="eastAsia" w:ascii="仿宋_GB2312" w:hAnsi="宋体" w:eastAsia="仿宋_GB2312" w:cs="宋体"/>
                <w:sz w:val="32"/>
                <w:szCs w:val="32"/>
              </w:rPr>
              <w:t>，</w:t>
            </w:r>
            <w:r>
              <w:rPr>
                <w:rFonts w:ascii="仿宋_GB2312" w:hAnsi="宋体" w:eastAsia="仿宋_GB2312" w:cs="宋体"/>
                <w:sz w:val="32"/>
                <w:szCs w:val="32"/>
              </w:rPr>
              <w:t>按照演练规则、评分标准和演练方案，</w:t>
            </w:r>
            <w:r>
              <w:rPr>
                <w:rFonts w:hint="eastAsia" w:ascii="仿宋_GB2312" w:hAnsi="宋体" w:eastAsia="仿宋_GB2312" w:cs="宋体"/>
                <w:sz w:val="32"/>
                <w:szCs w:val="32"/>
              </w:rPr>
              <w:t>严格、</w:t>
            </w:r>
            <w:r>
              <w:rPr>
                <w:rFonts w:ascii="仿宋_GB2312" w:hAnsi="宋体" w:eastAsia="仿宋_GB2312" w:cs="宋体"/>
                <w:sz w:val="32"/>
                <w:szCs w:val="32"/>
              </w:rPr>
              <w:t>公正、公平</w:t>
            </w:r>
            <w:r>
              <w:rPr>
                <w:rFonts w:hint="eastAsia" w:ascii="仿宋_GB2312" w:hAnsi="宋体" w:eastAsia="仿宋_GB2312" w:cs="宋体"/>
                <w:sz w:val="32"/>
                <w:szCs w:val="32"/>
              </w:rPr>
              <w:t>评判。</w:t>
            </w:r>
          </w:p>
          <w:p>
            <w:pPr>
              <w:pStyle w:val="2"/>
              <w:spacing w:before="0" w:after="0" w:line="360" w:lineRule="auto"/>
              <w:ind w:firstLine="643" w:firstLineChars="200"/>
              <w:rPr>
                <w:rFonts w:hint="eastAsia" w:ascii="楷体" w:hAnsi="楷体" w:eastAsia="楷体" w:cs="宋体"/>
                <w:b w:val="0"/>
              </w:rPr>
            </w:pPr>
            <w:r>
              <w:rPr>
                <w:rFonts w:hint="eastAsia" w:ascii="仿宋_GB2312" w:eastAsia="仿宋_GB2312" w:cs="DejaVuSans"/>
                <w:color w:val="000000" w:themeColor="text1"/>
                <w:kern w:val="0"/>
                <w14:textFill>
                  <w14:solidFill>
                    <w14:schemeClr w14:val="tx1"/>
                  </w14:solidFill>
                </w14:textFill>
              </w:rPr>
              <w:t>2.</w:t>
            </w:r>
            <w:r>
              <w:rPr>
                <w:rFonts w:hint="eastAsia" w:ascii="楷体" w:hAnsi="楷体" w:eastAsia="楷体" w:cs="宋体"/>
                <w:b w:val="0"/>
              </w:rPr>
              <w:t xml:space="preserve"> 提供演练装备</w:t>
            </w:r>
          </w:p>
          <w:p>
            <w:pPr>
              <w:autoSpaceDE w:val="0"/>
              <w:autoSpaceDN w:val="0"/>
              <w:adjustRightInd w:val="0"/>
              <w:ind w:left="-2" w:leftChars="-1" w:firstLine="704" w:firstLineChars="220"/>
              <w:rPr>
                <w:rFonts w:hint="eastAsia" w:ascii="仿宋_GB2312" w:hAnsi="宋体" w:eastAsia="仿宋_GB2312" w:cs="宋体"/>
                <w:sz w:val="32"/>
                <w:szCs w:val="32"/>
              </w:rPr>
            </w:pPr>
            <w:r>
              <w:rPr>
                <w:rFonts w:hint="eastAsia" w:ascii="仿宋_GB2312" w:hAnsi="宋体" w:eastAsia="仿宋_GB2312" w:cs="宋体"/>
                <w:sz w:val="32"/>
                <w:szCs w:val="32"/>
              </w:rPr>
              <w:t>2.1无线电信号源：提供充足的技术演练涉及的信号源等器材供演练及培训使用，使用时间不少于30个自然日，单个信号源自带</w:t>
            </w:r>
            <w:r>
              <w:rPr>
                <w:rFonts w:ascii="仿宋_GB2312" w:hAnsi="宋体" w:eastAsia="仿宋_GB2312" w:cs="宋体"/>
                <w:sz w:val="32"/>
                <w:szCs w:val="32"/>
              </w:rPr>
              <w:t>电池需</w:t>
            </w:r>
            <w:r>
              <w:rPr>
                <w:rFonts w:hint="eastAsia" w:ascii="仿宋_GB2312" w:hAnsi="宋体" w:eastAsia="仿宋_GB2312" w:cs="宋体"/>
                <w:sz w:val="32"/>
                <w:szCs w:val="32"/>
              </w:rPr>
              <w:t>支持持续使用不少于5小时。</w:t>
            </w:r>
          </w:p>
          <w:p>
            <w:pPr>
              <w:autoSpaceDE w:val="0"/>
              <w:autoSpaceDN w:val="0"/>
              <w:adjustRightInd w:val="0"/>
              <w:ind w:left="-2" w:leftChars="-1" w:firstLine="704" w:firstLineChars="220"/>
              <w:rPr>
                <w:rFonts w:hint="eastAsia" w:ascii="仿宋_GB2312" w:hAnsi="宋体" w:eastAsia="仿宋_GB2312" w:cs="宋体"/>
                <w:sz w:val="32"/>
                <w:szCs w:val="32"/>
              </w:rPr>
            </w:pPr>
            <w:r>
              <w:rPr>
                <w:rFonts w:hint="eastAsia" w:ascii="仿宋_GB2312" w:eastAsia="仿宋_GB2312" w:cs="宋体"/>
                <w:color w:val="000000" w:themeColor="text1"/>
                <w:kern w:val="0"/>
                <w:sz w:val="32"/>
                <w:szCs w:val="32"/>
                <w14:textFill>
                  <w14:solidFill>
                    <w14:schemeClr w14:val="tx1"/>
                  </w14:solidFill>
                </w14:textFill>
              </w:rPr>
              <w:t>信号源包括模拟干扰信号源、模拟考试作弊信号源等，</w:t>
            </w:r>
            <w:r>
              <w:rPr>
                <w:rFonts w:hint="eastAsia" w:ascii="仿宋_GB2312" w:hAnsi="宋体" w:eastAsia="仿宋_GB2312" w:cs="宋体"/>
                <w:sz w:val="32"/>
                <w:szCs w:val="32"/>
              </w:rPr>
              <w:t>具备包括但不限于单载波、调制信号、协议信号、常规雷达信号、捷变雷达信号、扫频信号、考试作弊信号等的发射能力。</w:t>
            </w:r>
          </w:p>
          <w:p>
            <w:pPr>
              <w:autoSpaceDE w:val="0"/>
              <w:autoSpaceDN w:val="0"/>
              <w:adjustRightInd w:val="0"/>
              <w:ind w:left="-2" w:leftChars="-1" w:firstLine="704" w:firstLineChars="220"/>
              <w:rPr>
                <w:rFonts w:hint="eastAsia" w:ascii="仿宋_GB2312" w:hAnsi="宋体" w:eastAsia="仿宋_GB2312" w:cs="宋体"/>
                <w:sz w:val="32"/>
                <w:szCs w:val="32"/>
              </w:rPr>
            </w:pPr>
            <w:r>
              <w:rPr>
                <w:rFonts w:hint="eastAsia" w:ascii="仿宋_GB2312" w:hAnsi="宋体" w:eastAsia="仿宋_GB2312" w:cs="宋体"/>
                <w:sz w:val="32"/>
                <w:szCs w:val="32"/>
              </w:rPr>
              <w:t>信号源频率范围符合国家无线电办公室监测技术演练要求。</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sz w:val="32"/>
                <w:szCs w:val="32"/>
              </w:rPr>
              <w:t>信号源数量：</w:t>
            </w:r>
            <w:r>
              <w:rPr>
                <w:rFonts w:hint="eastAsia" w:ascii="仿宋_GB2312" w:eastAsia="仿宋_GB2312" w:cs="宋体"/>
                <w:color w:val="000000" w:themeColor="text1"/>
                <w:kern w:val="0"/>
                <w:sz w:val="32"/>
                <w:szCs w:val="32"/>
                <w14:textFill>
                  <w14:solidFill>
                    <w14:schemeClr w14:val="tx1"/>
                  </w14:solidFill>
                </w14:textFill>
              </w:rPr>
              <w:t>模拟干扰信号源不少于10个，模拟考试作弊信号源不少于3个。</w:t>
            </w:r>
          </w:p>
          <w:p>
            <w:pPr>
              <w:snapToGrid w:val="0"/>
              <w:spacing w:line="360" w:lineRule="auto"/>
              <w:ind w:firstLine="745" w:firstLineChars="233"/>
              <w:rPr>
                <w:rFonts w:hint="eastAsia"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辅助设备。包括演练语音调度指挥设备、裁判装备、现场信号源监测管控设备以及有关转接头、射频线缆、稳压源、三角架、适配器、电源插座、裁判用具等辅助设备。</w:t>
            </w:r>
          </w:p>
          <w:p>
            <w:pPr>
              <w:snapToGrid w:val="0"/>
              <w:spacing w:line="360" w:lineRule="auto"/>
              <w:ind w:firstLine="745" w:firstLineChars="233"/>
              <w:rPr>
                <w:rFonts w:hint="eastAsia" w:ascii="仿宋_GB2312" w:hAnsi="宋体" w:eastAsia="仿宋_GB2312" w:cs="宋体"/>
                <w:sz w:val="32"/>
                <w:szCs w:val="32"/>
              </w:rPr>
            </w:pPr>
            <w:r>
              <w:rPr>
                <w:rFonts w:hint="eastAsia" w:ascii="仿宋_GB2312" w:hAnsi="宋体" w:eastAsia="仿宋_GB2312" w:cs="宋体"/>
                <w:sz w:val="32"/>
                <w:szCs w:val="32"/>
              </w:rPr>
              <w:t>为履行服务所需，上述未尽列明的，供应商应当予以提供，所产生的费用包括在总报价中。</w:t>
            </w:r>
          </w:p>
          <w:p>
            <w:pPr>
              <w:snapToGrid w:val="0"/>
              <w:spacing w:line="360" w:lineRule="auto"/>
              <w:ind w:firstLine="745" w:firstLineChars="233"/>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sz w:val="32"/>
                <w:szCs w:val="32"/>
              </w:rPr>
              <w:t>除提供上述系统设备供演练及训练使用外，需派出专业技术人员实际操作并提供技术支持。</w:t>
            </w:r>
          </w:p>
          <w:p>
            <w:pPr>
              <w:pStyle w:val="2"/>
              <w:spacing w:before="0" w:after="0" w:line="360" w:lineRule="auto"/>
              <w:ind w:firstLine="643" w:firstLineChars="200"/>
              <w:rPr>
                <w:rFonts w:hint="eastAsia" w:ascii="仿宋_GB2312" w:hAnsi="宋体" w:eastAsia="仿宋_GB2312" w:cs="宋体"/>
                <w:b w:val="0"/>
              </w:rPr>
            </w:pPr>
            <w:r>
              <w:rPr>
                <w:rFonts w:hint="eastAsia" w:ascii="仿宋_GB2312" w:eastAsia="仿宋_GB2312" w:cs="DejaVuSans"/>
                <w:color w:val="000000" w:themeColor="text1"/>
                <w:kern w:val="0"/>
                <w14:textFill>
                  <w14:solidFill>
                    <w14:schemeClr w14:val="tx1"/>
                  </w14:solidFill>
                </w14:textFill>
              </w:rPr>
              <w:t>3.</w:t>
            </w:r>
            <w:r>
              <w:rPr>
                <w:rFonts w:hint="eastAsia" w:ascii="楷体" w:hAnsi="楷体" w:eastAsia="楷体" w:cs="楷体"/>
                <w:b w:val="0"/>
              </w:rPr>
              <w:t xml:space="preserve"> 演练场地及场景搭建</w:t>
            </w:r>
          </w:p>
          <w:p>
            <w:pPr>
              <w:snapToGrid w:val="0"/>
              <w:spacing w:line="360" w:lineRule="auto"/>
              <w:ind w:firstLine="569" w:firstLineChars="178"/>
              <w:rPr>
                <w:rFonts w:hint="eastAsia" w:ascii="仿宋_GB2312" w:hAnsi="宋体" w:eastAsia="仿宋_GB2312" w:cs="宋体"/>
                <w:sz w:val="32"/>
                <w:szCs w:val="32"/>
              </w:rPr>
            </w:pPr>
            <w:r>
              <w:rPr>
                <w:rFonts w:hint="eastAsia" w:ascii="仿宋_GB2312" w:hAnsi="宋体" w:eastAsia="仿宋_GB2312" w:cs="宋体"/>
                <w:sz w:val="32"/>
                <w:szCs w:val="32"/>
              </w:rPr>
              <w:t>3.1演练场地勘查与协调</w:t>
            </w:r>
          </w:p>
          <w:p>
            <w:pPr>
              <w:snapToGrid w:val="0"/>
              <w:spacing w:line="360" w:lineRule="auto"/>
              <w:ind w:firstLine="569" w:firstLineChars="178"/>
              <w:rPr>
                <w:rFonts w:hint="eastAsia" w:ascii="仿宋_GB2312" w:hAnsi="宋体" w:eastAsia="仿宋_GB2312" w:cs="宋体"/>
                <w:sz w:val="32"/>
                <w:szCs w:val="32"/>
              </w:rPr>
            </w:pPr>
            <w:r>
              <w:rPr>
                <w:rFonts w:hint="eastAsia" w:ascii="仿宋_GB2312" w:hAnsi="宋体" w:eastAsia="仿宋_GB2312" w:cs="宋体"/>
                <w:sz w:val="32"/>
                <w:szCs w:val="32"/>
              </w:rPr>
              <w:t>参照全国无线电监测技术演练</w:t>
            </w:r>
            <w:r>
              <w:rPr>
                <w:rFonts w:hint="eastAsia" w:ascii="仿宋_GB2312" w:hAnsi="宋体" w:eastAsia="仿宋_GB2312" w:cs="宋体"/>
                <w:sz w:val="32"/>
                <w:szCs w:val="32"/>
                <w:lang w:eastAsia="zh-CN"/>
              </w:rPr>
              <w:t>模拟实际</w:t>
            </w:r>
            <w:r>
              <w:rPr>
                <w:rFonts w:hint="eastAsia" w:ascii="仿宋_GB2312" w:hAnsi="宋体" w:eastAsia="仿宋_GB2312" w:cs="宋体"/>
                <w:sz w:val="32"/>
                <w:szCs w:val="32"/>
              </w:rPr>
              <w:t>场地要求，实地勘察、确定演练场地，并负责与当地相关部门的协调和报备工作。</w:t>
            </w:r>
          </w:p>
          <w:p>
            <w:pPr>
              <w:snapToGrid w:val="0"/>
              <w:spacing w:line="360" w:lineRule="auto"/>
              <w:ind w:firstLine="569" w:firstLineChars="178"/>
              <w:rPr>
                <w:rFonts w:hint="eastAsia" w:ascii="仿宋_GB2312" w:hAnsi="宋体" w:eastAsia="仿宋_GB2312" w:cs="宋体"/>
                <w:sz w:val="32"/>
                <w:szCs w:val="32"/>
              </w:rPr>
            </w:pPr>
            <w:r>
              <w:rPr>
                <w:rFonts w:hint="eastAsia" w:ascii="仿宋_GB2312" w:hAnsi="宋体" w:eastAsia="仿宋_GB2312" w:cs="宋体"/>
                <w:sz w:val="32"/>
                <w:szCs w:val="32"/>
              </w:rPr>
              <w:t>3.2演练场地电磁环境测试</w:t>
            </w:r>
          </w:p>
          <w:p>
            <w:pPr>
              <w:snapToGrid w:val="0"/>
              <w:spacing w:line="360" w:lineRule="auto"/>
              <w:ind w:firstLine="569" w:firstLineChars="178"/>
              <w:rPr>
                <w:rFonts w:hint="eastAsia" w:ascii="仿宋_GB2312" w:hAnsi="宋体" w:eastAsia="仿宋_GB2312" w:cs="宋体"/>
                <w:sz w:val="32"/>
                <w:szCs w:val="32"/>
              </w:rPr>
            </w:pPr>
            <w:r>
              <w:rPr>
                <w:rFonts w:hint="eastAsia" w:ascii="仿宋_GB2312" w:hAnsi="宋体" w:eastAsia="仿宋_GB2312" w:cs="宋体"/>
                <w:sz w:val="32"/>
                <w:szCs w:val="32"/>
              </w:rPr>
              <w:t>对所勘察的演练场地进行电磁环境测试，以确保符合演练需要；在演练活动开展期间进行电磁环境测试，及时发现、排除影响演练正常开展隐患。</w:t>
            </w:r>
          </w:p>
          <w:p>
            <w:pPr>
              <w:snapToGrid w:val="0"/>
              <w:spacing w:line="360" w:lineRule="auto"/>
              <w:ind w:firstLine="569" w:firstLineChars="178"/>
              <w:rPr>
                <w:rFonts w:hint="eastAsia" w:ascii="仿宋_GB2312" w:hAnsi="宋体" w:eastAsia="仿宋_GB2312" w:cs="宋体"/>
                <w:sz w:val="32"/>
                <w:szCs w:val="32"/>
              </w:rPr>
            </w:pPr>
            <w:r>
              <w:rPr>
                <w:rFonts w:hint="eastAsia" w:ascii="仿宋_GB2312" w:hAnsi="宋体" w:eastAsia="仿宋_GB2312" w:cs="宋体"/>
                <w:sz w:val="32"/>
                <w:szCs w:val="32"/>
              </w:rPr>
              <w:t>3.3负责演练场氛围布置和道具准备等。</w:t>
            </w:r>
          </w:p>
          <w:p>
            <w:pPr>
              <w:pStyle w:val="2"/>
              <w:spacing w:before="0" w:after="0" w:line="360" w:lineRule="auto"/>
              <w:ind w:firstLine="640" w:firstLineChars="200"/>
              <w:rPr>
                <w:rFonts w:hint="eastAsia" w:ascii="楷体" w:hAnsi="楷体" w:eastAsia="楷体" w:cs="楷体"/>
                <w:b w:val="0"/>
              </w:rPr>
            </w:pPr>
            <w:r>
              <w:rPr>
                <w:rFonts w:hint="eastAsia" w:ascii="楷体" w:hAnsi="楷体" w:eastAsia="楷体" w:cs="楷体"/>
                <w:b w:val="0"/>
              </w:rPr>
              <w:t>4.负责演练所需设备、仪器等物资的运送。</w:t>
            </w:r>
          </w:p>
          <w:p>
            <w:pPr>
              <w:pStyle w:val="2"/>
              <w:spacing w:before="0" w:after="0" w:line="360" w:lineRule="auto"/>
              <w:ind w:firstLine="640" w:firstLineChars="200"/>
              <w:rPr>
                <w:rFonts w:hint="eastAsia" w:ascii="楷体" w:hAnsi="楷体" w:eastAsia="楷体" w:cs="楷体"/>
                <w:b w:val="0"/>
              </w:rPr>
            </w:pPr>
            <w:r>
              <w:rPr>
                <w:rFonts w:hint="eastAsia" w:ascii="楷体" w:hAnsi="楷体" w:eastAsia="楷体" w:cs="楷体"/>
                <w:b w:val="0"/>
              </w:rPr>
              <w:t>5.其他服务</w:t>
            </w:r>
          </w:p>
          <w:p>
            <w:pPr>
              <w:snapToGrid w:val="0"/>
              <w:spacing w:line="360" w:lineRule="auto"/>
              <w:ind w:firstLine="569" w:firstLineChars="178"/>
              <w:rPr>
                <w:rFonts w:hint="eastAsia" w:ascii="仿宋_GB2312" w:hAnsi="宋体" w:eastAsia="仿宋_GB2312" w:cs="宋体"/>
                <w:sz w:val="32"/>
                <w:szCs w:val="32"/>
              </w:rPr>
            </w:pPr>
            <w:r>
              <w:rPr>
                <w:rFonts w:hint="eastAsia" w:ascii="仿宋_GB2312" w:hAnsi="宋体" w:eastAsia="仿宋_GB2312" w:cs="宋体"/>
                <w:sz w:val="32"/>
                <w:szCs w:val="32"/>
              </w:rPr>
              <w:t>5.1负责演练期间安保工作，提供防疫措施落实以及演练全程常用药品服务，确保演练过程中人、物的安全。</w:t>
            </w:r>
          </w:p>
          <w:p>
            <w:pPr>
              <w:autoSpaceDE w:val="0"/>
              <w:autoSpaceDN w:val="0"/>
              <w:adjustRightInd w:val="0"/>
              <w:ind w:left="-2" w:leftChars="-1" w:firstLine="704" w:firstLineChars="220"/>
              <w:rPr>
                <w:rFonts w:ascii="仿宋_GB2312"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sz w:val="32"/>
                <w:szCs w:val="32"/>
              </w:rPr>
              <w:t>5.2复盘分析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四、服务要求</w:t>
            </w:r>
          </w:p>
          <w:p>
            <w:pPr>
              <w:autoSpaceDE w:val="0"/>
              <w:autoSpaceDN w:val="0"/>
              <w:adjustRightInd w:val="0"/>
              <w:spacing w:line="360" w:lineRule="exact"/>
              <w:rPr>
                <w:rFonts w:ascii="仿宋_GB2312" w:eastAsia="仿宋_GB2312" w:cs="宋体"/>
                <w:b/>
                <w:color w:val="000000" w:themeColor="text1"/>
                <w:kern w:val="0"/>
                <w:sz w:val="28"/>
                <w:szCs w:val="28"/>
                <w14:textFill>
                  <w14:solidFill>
                    <w14:schemeClr w14:val="tx1"/>
                  </w14:solidFill>
                </w14:textFill>
              </w:rPr>
            </w:pPr>
          </w:p>
        </w:tc>
        <w:tc>
          <w:tcPr>
            <w:tcW w:w="7909" w:type="dxa"/>
          </w:tcPr>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1.</w:t>
            </w:r>
            <w:r>
              <w:rPr>
                <w:rFonts w:hint="eastAsia" w:ascii="仿宋_GB2312" w:eastAsia="仿宋_GB2312" w:cs="宋体"/>
                <w:color w:val="000000" w:themeColor="text1"/>
                <w:kern w:val="0"/>
                <w:sz w:val="32"/>
                <w:szCs w:val="32"/>
                <w14:textFill>
                  <w14:solidFill>
                    <w14:schemeClr w14:val="tx1"/>
                  </w14:solidFill>
                </w14:textFill>
              </w:rPr>
              <w:t>供应商能够针对本项目组建专门的服务团队。</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2.供应商熟悉全国无线电监测技术演练有关要求、组织程序、演练规范，具备相关设备及技术能力；</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3.供应商不得将本项目分包或拆包，供应商应根据采购人的要求提供完整的服务。</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4.供应商在实施过程中，应与采购人联系沟通及汇报工作，发现问题及时通报。</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5.供应商在实施过程中所形成的有关材料，应整理成册归档，以便采购人调阅。</w:t>
            </w:r>
          </w:p>
          <w:p>
            <w:pPr>
              <w:autoSpaceDE w:val="0"/>
              <w:autoSpaceDN w:val="0"/>
              <w:adjustRightInd w:val="0"/>
              <w:ind w:left="-2" w:leftChars="-1" w:firstLine="704" w:firstLineChars="220"/>
              <w:rPr>
                <w:rFonts w:ascii="仿宋_GB2312" w:eastAsia="仿宋_GB2312" w:cs="宋体"/>
                <w:b/>
                <w:color w:val="000000" w:themeColor="text1"/>
                <w:kern w:val="0"/>
                <w:sz w:val="28"/>
                <w:szCs w:val="28"/>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6.供应商对执行本项目过程中知悉的涉密信息严加保密，不得将其知悉的秘密和采购人提供的资料对外泄露。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五、项目成果要求</w:t>
            </w:r>
          </w:p>
          <w:p>
            <w:pPr>
              <w:autoSpaceDE w:val="0"/>
              <w:autoSpaceDN w:val="0"/>
              <w:adjustRightInd w:val="0"/>
              <w:spacing w:line="360" w:lineRule="exact"/>
              <w:rPr>
                <w:rFonts w:ascii="仿宋_GB2312" w:eastAsia="仿宋_GB2312" w:cs="宋体"/>
                <w:b/>
                <w:color w:val="000000" w:themeColor="text1"/>
                <w:kern w:val="0"/>
                <w:sz w:val="28"/>
                <w:szCs w:val="28"/>
                <w14:textFill>
                  <w14:solidFill>
                    <w14:schemeClr w14:val="tx1"/>
                  </w14:solidFill>
                </w14:textFill>
              </w:rPr>
            </w:pPr>
          </w:p>
        </w:tc>
        <w:tc>
          <w:tcPr>
            <w:tcW w:w="7909" w:type="dxa"/>
          </w:tcPr>
          <w:p>
            <w:pPr>
              <w:autoSpaceDE w:val="0"/>
              <w:autoSpaceDN w:val="0"/>
              <w:adjustRightInd w:val="0"/>
              <w:ind w:left="-2" w:leftChars="-1" w:firstLine="704" w:firstLineChars="220"/>
              <w:rPr>
                <w:rFonts w:ascii="仿宋_GB2312" w:eastAsia="仿宋_GB2312" w:cs="宋体"/>
                <w:b/>
                <w:color w:val="000000" w:themeColor="text1"/>
                <w:kern w:val="0"/>
                <w:sz w:val="28"/>
                <w:szCs w:val="28"/>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形成</w:t>
            </w:r>
            <w:r>
              <w:rPr>
                <w:rFonts w:ascii="仿宋_GB2312" w:eastAsia="仿宋_GB2312" w:cs="DejaVuSans"/>
                <w:color w:val="000000" w:themeColor="text1"/>
                <w:kern w:val="0"/>
                <w:sz w:val="32"/>
                <w:szCs w:val="32"/>
                <w14:textFill>
                  <w14:solidFill>
                    <w14:schemeClr w14:val="tx1"/>
                  </w14:solidFill>
                </w14:textFill>
              </w:rPr>
              <w:t>无线电</w:t>
            </w:r>
            <w:r>
              <w:rPr>
                <w:rFonts w:hint="eastAsia" w:ascii="仿宋_GB2312" w:eastAsia="仿宋_GB2312" w:cs="DejaVuSans"/>
                <w:color w:val="000000" w:themeColor="text1"/>
                <w:kern w:val="0"/>
                <w:sz w:val="32"/>
                <w:szCs w:val="32"/>
                <w14:textFill>
                  <w14:solidFill>
                    <w14:schemeClr w14:val="tx1"/>
                  </w14:solidFill>
                </w14:textFill>
              </w:rPr>
              <w:t>监测技术演练分析报告，建立2024</w:t>
            </w:r>
            <w:r>
              <w:rPr>
                <w:rFonts w:ascii="仿宋_GB2312" w:eastAsia="仿宋_GB2312" w:cs="DejaVuSans"/>
                <w:color w:val="000000" w:themeColor="text1"/>
                <w:kern w:val="0"/>
                <w:sz w:val="32"/>
                <w:szCs w:val="32"/>
                <w14:textFill>
                  <w14:solidFill>
                    <w14:schemeClr w14:val="tx1"/>
                  </w14:solidFill>
                </w14:textFill>
              </w:rPr>
              <w:t>年无线电</w:t>
            </w:r>
            <w:r>
              <w:rPr>
                <w:rFonts w:hint="eastAsia" w:ascii="仿宋_GB2312" w:eastAsia="仿宋_GB2312" w:cs="DejaVuSans"/>
                <w:color w:val="000000" w:themeColor="text1"/>
                <w:kern w:val="0"/>
                <w:sz w:val="32"/>
                <w:szCs w:val="32"/>
                <w14:textFill>
                  <w14:solidFill>
                    <w14:schemeClr w14:val="tx1"/>
                  </w14:solidFill>
                </w14:textFill>
              </w:rPr>
              <w:t>监测技术演练服务项目档案</w:t>
            </w:r>
            <w:r>
              <w:rPr>
                <w:rFonts w:hint="eastAsia" w:ascii="仿宋_GB2312" w:eastAsia="仿宋_GB2312" w:cs="宋体"/>
                <w:color w:val="000000" w:themeColor="text1"/>
                <w:kern w:val="0"/>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六、附则</w:t>
            </w:r>
          </w:p>
          <w:p>
            <w:pPr>
              <w:autoSpaceDE w:val="0"/>
              <w:autoSpaceDN w:val="0"/>
              <w:adjustRightInd w:val="0"/>
              <w:spacing w:line="360" w:lineRule="exact"/>
              <w:rPr>
                <w:rFonts w:ascii="仿宋_GB2312" w:eastAsia="仿宋_GB2312" w:cs="宋体"/>
                <w:b/>
                <w:color w:val="000000" w:themeColor="text1"/>
                <w:kern w:val="0"/>
                <w:sz w:val="28"/>
                <w:szCs w:val="28"/>
                <w14:textFill>
                  <w14:solidFill>
                    <w14:schemeClr w14:val="tx1"/>
                  </w14:solidFill>
                </w14:textFill>
              </w:rPr>
            </w:pPr>
          </w:p>
        </w:tc>
        <w:tc>
          <w:tcPr>
            <w:tcW w:w="7909" w:type="dxa"/>
          </w:tcPr>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1.公开展示的限制</w:t>
            </w:r>
          </w:p>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任何单位和个人未经采购人同意都无权以任何形式向社会公开展示</w:t>
            </w:r>
            <w:r>
              <w:rPr>
                <w:rFonts w:hint="eastAsia" w:ascii="仿宋_GB2312" w:eastAsia="仿宋_GB2312" w:cs="DejaVuSans"/>
                <w:color w:val="000000" w:themeColor="text1"/>
                <w:kern w:val="0"/>
                <w:sz w:val="32"/>
                <w:szCs w:val="32"/>
                <w:lang w:eastAsia="zh-CN"/>
                <w14:textFill>
                  <w14:solidFill>
                    <w14:schemeClr w14:val="tx1"/>
                  </w14:solidFill>
                </w14:textFill>
              </w:rPr>
              <w:t>项目</w:t>
            </w:r>
            <w:r>
              <w:rPr>
                <w:rFonts w:hint="eastAsia" w:ascii="仿宋_GB2312" w:eastAsia="仿宋_GB2312" w:cs="DejaVuSans"/>
                <w:color w:val="000000" w:themeColor="text1"/>
                <w:kern w:val="0"/>
                <w:sz w:val="32"/>
                <w:szCs w:val="32"/>
                <w14:textFill>
                  <w14:solidFill>
                    <w14:schemeClr w14:val="tx1"/>
                  </w14:solidFill>
                </w14:textFill>
              </w:rPr>
              <w:t>成果。</w:t>
            </w:r>
          </w:p>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2.解释权</w:t>
            </w:r>
          </w:p>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本需求书解释权归采购人所有。</w:t>
            </w:r>
          </w:p>
        </w:tc>
      </w:tr>
    </w:tbl>
    <w:p>
      <w:pPr>
        <w:rPr>
          <w:rFonts w:ascii="宋体" w:eastAsia="宋体" w:cs="宋体"/>
          <w:kern w:val="0"/>
          <w:sz w:val="19"/>
          <w:szCs w:val="19"/>
        </w:rPr>
      </w:pPr>
    </w:p>
    <w:p>
      <w:pPr>
        <w:pStyle w:val="9"/>
        <w:numPr>
          <w:ilvl w:val="0"/>
          <w:numId w:val="1"/>
        </w:numPr>
        <w:autoSpaceDE w:val="0"/>
        <w:autoSpaceDN w:val="0"/>
        <w:adjustRightInd w:val="0"/>
        <w:ind w:left="567" w:hanging="142" w:firstLineChars="0"/>
        <w:jc w:val="left"/>
        <w:rPr>
          <w:rFonts w:ascii="黑体" w:hAnsi="黑体" w:eastAsia="黑体" w:cs="宋体"/>
          <w:kern w:val="0"/>
          <w:sz w:val="32"/>
          <w:szCs w:val="32"/>
        </w:rPr>
      </w:pPr>
      <w:r>
        <w:rPr>
          <w:rFonts w:hint="eastAsia" w:ascii="黑体" w:hAnsi="黑体" w:eastAsia="黑体" w:cs="宋体"/>
          <w:kern w:val="0"/>
          <w:sz w:val="32"/>
          <w:szCs w:val="32"/>
        </w:rPr>
        <w:t>主要商务要求</w:t>
      </w:r>
    </w:p>
    <w:p>
      <w:pPr>
        <w:pStyle w:val="9"/>
        <w:numPr>
          <w:ilvl w:val="0"/>
          <w:numId w:val="2"/>
        </w:numPr>
        <w:ind w:firstLineChars="0"/>
        <w:rPr>
          <w:rFonts w:ascii="楷体" w:hAnsi="楷体" w:eastAsia="楷体"/>
          <w:b/>
          <w:sz w:val="32"/>
          <w:szCs w:val="32"/>
        </w:rPr>
      </w:pPr>
      <w:r>
        <w:rPr>
          <w:rFonts w:hint="eastAsia" w:ascii="楷体" w:hAnsi="楷体" w:eastAsia="楷体"/>
          <w:b/>
          <w:sz w:val="32"/>
          <w:szCs w:val="32"/>
        </w:rPr>
        <w:t>标的提供的时间</w:t>
      </w:r>
    </w:p>
    <w:p>
      <w:pPr>
        <w:ind w:firstLine="646" w:firstLineChars="202"/>
        <w:rPr>
          <w:rFonts w:ascii="仿宋_GB2312" w:eastAsia="仿宋_GB2312"/>
          <w:sz w:val="32"/>
          <w:szCs w:val="32"/>
        </w:rPr>
      </w:pPr>
      <w:r>
        <w:rPr>
          <w:rFonts w:hint="eastAsia" w:ascii="仿宋_GB2312" w:eastAsia="仿宋_GB2312"/>
          <w:sz w:val="32"/>
          <w:szCs w:val="32"/>
        </w:rPr>
        <w:t>签订合同后至2024年12月31日，如有特殊情况，供应商应继续履行服务至本项工作全部完成。</w:t>
      </w:r>
    </w:p>
    <w:p>
      <w:pPr>
        <w:pStyle w:val="9"/>
        <w:numPr>
          <w:ilvl w:val="0"/>
          <w:numId w:val="2"/>
        </w:numPr>
        <w:ind w:firstLineChars="0"/>
        <w:rPr>
          <w:rFonts w:ascii="楷体" w:hAnsi="楷体" w:eastAsia="楷体"/>
          <w:b/>
          <w:sz w:val="32"/>
          <w:szCs w:val="32"/>
        </w:rPr>
      </w:pPr>
      <w:r>
        <w:rPr>
          <w:rFonts w:hint="eastAsia" w:ascii="楷体" w:hAnsi="楷体" w:eastAsia="楷体"/>
          <w:b/>
          <w:sz w:val="32"/>
          <w:szCs w:val="32"/>
        </w:rPr>
        <w:t>付款方式</w:t>
      </w:r>
    </w:p>
    <w:p>
      <w:pPr>
        <w:ind w:firstLine="646" w:firstLineChars="202"/>
        <w:rPr>
          <w:rFonts w:hint="eastAsia" w:ascii="仿宋_GB2312" w:eastAsia="仿宋_GB2312"/>
          <w:sz w:val="32"/>
          <w:szCs w:val="32"/>
        </w:rPr>
      </w:pPr>
      <w:r>
        <w:rPr>
          <w:rFonts w:hint="eastAsia" w:ascii="仿宋_GB2312" w:eastAsia="仿宋_GB2312"/>
          <w:sz w:val="32"/>
          <w:szCs w:val="32"/>
        </w:rPr>
        <w:t>1期：支付比例50%，采购人与供应商签订合同，提出经采购人认可的</w:t>
      </w:r>
      <w:r>
        <w:rPr>
          <w:rFonts w:hint="eastAsia" w:ascii="仿宋_GB2312" w:eastAsia="仿宋_GB2312"/>
          <w:sz w:val="32"/>
          <w:szCs w:val="32"/>
          <w:lang w:eastAsia="zh-CN"/>
        </w:rPr>
        <w:t>全省</w:t>
      </w:r>
      <w:r>
        <w:rPr>
          <w:rFonts w:hint="eastAsia" w:ascii="仿宋_GB2312" w:eastAsia="仿宋_GB2312"/>
          <w:sz w:val="32"/>
          <w:szCs w:val="32"/>
        </w:rPr>
        <w:t>无线电监测技术演练方案，并向采购人提供相应的发票及支付文件后5个工作日内，采购人向供应商支付合同金额50%的合同款；</w:t>
      </w:r>
    </w:p>
    <w:p>
      <w:pPr>
        <w:ind w:firstLine="646" w:firstLineChars="202"/>
        <w:rPr>
          <w:rFonts w:hint="eastAsia" w:ascii="仿宋_GB2312" w:eastAsia="仿宋_GB2312"/>
          <w:sz w:val="32"/>
          <w:szCs w:val="32"/>
        </w:rPr>
      </w:pPr>
      <w:r>
        <w:rPr>
          <w:rFonts w:hint="eastAsia" w:ascii="仿宋_GB2312" w:eastAsia="仿宋_GB2312"/>
          <w:sz w:val="32"/>
          <w:szCs w:val="32"/>
        </w:rPr>
        <w:t>2期：支付比例50%，供应商按照合同约定及无线电监测技术演练方案，完成演练服务，提交</w:t>
      </w:r>
      <w:r>
        <w:rPr>
          <w:rFonts w:ascii="仿宋_GB2312" w:eastAsia="仿宋_GB2312"/>
          <w:sz w:val="32"/>
          <w:szCs w:val="32"/>
        </w:rPr>
        <w:t>无线电监测技术演练分析报告</w:t>
      </w:r>
      <w:r>
        <w:rPr>
          <w:rFonts w:hint="eastAsia" w:ascii="仿宋_GB2312" w:eastAsia="仿宋_GB2312"/>
          <w:sz w:val="32"/>
          <w:szCs w:val="32"/>
        </w:rPr>
        <w:t>、</w:t>
      </w:r>
      <w:r>
        <w:rPr>
          <w:rFonts w:ascii="仿宋_GB2312" w:eastAsia="仿宋_GB2312"/>
          <w:sz w:val="32"/>
          <w:szCs w:val="32"/>
        </w:rPr>
        <w:t>无线电监测技术演练服务项目档案</w:t>
      </w:r>
      <w:r>
        <w:rPr>
          <w:rFonts w:hint="eastAsia" w:ascii="仿宋_GB2312" w:eastAsia="仿宋_GB2312"/>
          <w:sz w:val="32"/>
          <w:szCs w:val="32"/>
        </w:rPr>
        <w:t>，并向采购人提供相应的发票及支付文件后5个工作日内，采购人</w:t>
      </w:r>
      <w:bookmarkStart w:id="0" w:name="_GoBack"/>
      <w:bookmarkEnd w:id="0"/>
      <w:r>
        <w:rPr>
          <w:rFonts w:hint="eastAsia" w:ascii="仿宋_GB2312" w:eastAsia="仿宋_GB2312"/>
          <w:sz w:val="32"/>
          <w:szCs w:val="32"/>
        </w:rPr>
        <w:t>向供应商支付合同金额50%的合同款。</w:t>
      </w:r>
    </w:p>
    <w:p>
      <w:pPr>
        <w:ind w:firstLine="646" w:firstLineChars="202"/>
        <w:rPr>
          <w:rFonts w:hint="eastAsia" w:ascii="仿宋_GB2312" w:eastAsia="仿宋_GB2312"/>
          <w:sz w:val="32"/>
          <w:szCs w:val="32"/>
        </w:rPr>
      </w:pPr>
      <w:r>
        <w:rPr>
          <w:rFonts w:hint="eastAsia" w:ascii="仿宋_GB2312" w:eastAsia="仿宋_GB2312"/>
          <w:sz w:val="32"/>
          <w:szCs w:val="32"/>
        </w:rPr>
        <w:t>采购人在前款规定的付款时间为向相关采购支付部门提出办理财政支付申请手续的时间（不含政府财政支付部门审核的时间）。</w:t>
      </w:r>
    </w:p>
    <w:p>
      <w:pPr>
        <w:pStyle w:val="9"/>
        <w:numPr>
          <w:ilvl w:val="0"/>
          <w:numId w:val="2"/>
        </w:numPr>
        <w:ind w:firstLineChars="0"/>
        <w:rPr>
          <w:rFonts w:ascii="楷体" w:hAnsi="楷体" w:eastAsia="楷体"/>
          <w:b/>
          <w:sz w:val="32"/>
          <w:szCs w:val="32"/>
        </w:rPr>
      </w:pPr>
      <w:r>
        <w:rPr>
          <w:rFonts w:hint="eastAsia" w:ascii="楷体" w:hAnsi="楷体" w:eastAsia="楷体"/>
          <w:b/>
          <w:sz w:val="32"/>
          <w:szCs w:val="32"/>
        </w:rPr>
        <w:t>履约保证金</w:t>
      </w:r>
    </w:p>
    <w:p>
      <w:pPr>
        <w:ind w:firstLine="646" w:firstLineChars="202"/>
        <w:rPr>
          <w:rFonts w:ascii="仿宋_GB2312" w:eastAsia="仿宋_GB2312"/>
          <w:sz w:val="32"/>
          <w:szCs w:val="32"/>
        </w:rPr>
      </w:pPr>
      <w:r>
        <w:rPr>
          <w:rFonts w:hint="eastAsia" w:ascii="仿宋_GB2312" w:eastAsia="仿宋_GB2312"/>
          <w:sz w:val="32"/>
          <w:szCs w:val="32"/>
        </w:rPr>
        <w:t>不收取。</w:t>
      </w:r>
    </w:p>
    <w:sectPr>
      <w:pgSz w:w="11906" w:h="16838"/>
      <w:pgMar w:top="1440" w:right="1700"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Sans">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361C9"/>
    <w:multiLevelType w:val="multilevel"/>
    <w:tmpl w:val="3DA361C9"/>
    <w:lvl w:ilvl="0" w:tentative="0">
      <w:start w:val="1"/>
      <w:numFmt w:val="japaneseCounting"/>
      <w:lvlText w:val="（%1）"/>
      <w:lvlJc w:val="left"/>
      <w:pPr>
        <w:ind w:left="1140" w:hanging="720"/>
      </w:pPr>
      <w:rPr>
        <w:rFonts w:hint="default" w:ascii="楷体" w:hAnsi="楷体" w:eastAsia="楷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E9E123E"/>
    <w:multiLevelType w:val="multilevel"/>
    <w:tmpl w:val="5E9E123E"/>
    <w:lvl w:ilvl="0" w:tentative="0">
      <w:start w:val="1"/>
      <w:numFmt w:val="japaneseCounting"/>
      <w:lvlText w:val="%1、"/>
      <w:lvlJc w:val="left"/>
      <w:pPr>
        <w:ind w:left="2810" w:hanging="720"/>
      </w:pPr>
      <w:rPr>
        <w:rFonts w:hint="default" w:ascii="黑体" w:hAnsi="黑体" w:eastAsia="黑体"/>
        <w:sz w:val="32"/>
        <w:szCs w:val="32"/>
      </w:rPr>
    </w:lvl>
    <w:lvl w:ilvl="1" w:tentative="0">
      <w:start w:val="1"/>
      <w:numFmt w:val="lowerLetter"/>
      <w:lvlText w:val="%2)"/>
      <w:lvlJc w:val="left"/>
      <w:pPr>
        <w:ind w:left="2930" w:hanging="420"/>
      </w:pPr>
    </w:lvl>
    <w:lvl w:ilvl="2" w:tentative="0">
      <w:start w:val="1"/>
      <w:numFmt w:val="lowerRoman"/>
      <w:lvlText w:val="%3."/>
      <w:lvlJc w:val="right"/>
      <w:pPr>
        <w:ind w:left="3350" w:hanging="420"/>
      </w:pPr>
    </w:lvl>
    <w:lvl w:ilvl="3" w:tentative="0">
      <w:start w:val="1"/>
      <w:numFmt w:val="decimal"/>
      <w:lvlText w:val="%4."/>
      <w:lvlJc w:val="left"/>
      <w:pPr>
        <w:ind w:left="3770" w:hanging="420"/>
      </w:pPr>
    </w:lvl>
    <w:lvl w:ilvl="4" w:tentative="0">
      <w:start w:val="1"/>
      <w:numFmt w:val="lowerLetter"/>
      <w:lvlText w:val="%5)"/>
      <w:lvlJc w:val="left"/>
      <w:pPr>
        <w:ind w:left="4190" w:hanging="420"/>
      </w:pPr>
    </w:lvl>
    <w:lvl w:ilvl="5" w:tentative="0">
      <w:start w:val="1"/>
      <w:numFmt w:val="lowerRoman"/>
      <w:lvlText w:val="%6."/>
      <w:lvlJc w:val="right"/>
      <w:pPr>
        <w:ind w:left="4610" w:hanging="420"/>
      </w:pPr>
    </w:lvl>
    <w:lvl w:ilvl="6" w:tentative="0">
      <w:start w:val="1"/>
      <w:numFmt w:val="decimal"/>
      <w:lvlText w:val="%7."/>
      <w:lvlJc w:val="left"/>
      <w:pPr>
        <w:ind w:left="5030" w:hanging="420"/>
      </w:pPr>
    </w:lvl>
    <w:lvl w:ilvl="7" w:tentative="0">
      <w:start w:val="1"/>
      <w:numFmt w:val="lowerLetter"/>
      <w:lvlText w:val="%8)"/>
      <w:lvlJc w:val="left"/>
      <w:pPr>
        <w:ind w:left="5450" w:hanging="420"/>
      </w:pPr>
    </w:lvl>
    <w:lvl w:ilvl="8" w:tentative="0">
      <w:start w:val="1"/>
      <w:numFmt w:val="lowerRoman"/>
      <w:lvlText w:val="%9."/>
      <w:lvlJc w:val="right"/>
      <w:pPr>
        <w:ind w:left="58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A9"/>
    <w:rsid w:val="0002086A"/>
    <w:rsid w:val="0003425E"/>
    <w:rsid w:val="00055C5A"/>
    <w:rsid w:val="000577F8"/>
    <w:rsid w:val="00082B86"/>
    <w:rsid w:val="000B1084"/>
    <w:rsid w:val="000B59AF"/>
    <w:rsid w:val="000C04DA"/>
    <w:rsid w:val="000D72A8"/>
    <w:rsid w:val="00105AE6"/>
    <w:rsid w:val="00116098"/>
    <w:rsid w:val="00130503"/>
    <w:rsid w:val="001819E3"/>
    <w:rsid w:val="001C5FFF"/>
    <w:rsid w:val="001E6043"/>
    <w:rsid w:val="00225916"/>
    <w:rsid w:val="0022624D"/>
    <w:rsid w:val="002D4B9D"/>
    <w:rsid w:val="002E169A"/>
    <w:rsid w:val="00335717"/>
    <w:rsid w:val="003372EC"/>
    <w:rsid w:val="00345E77"/>
    <w:rsid w:val="00361805"/>
    <w:rsid w:val="003A2404"/>
    <w:rsid w:val="003B23B2"/>
    <w:rsid w:val="003C07A0"/>
    <w:rsid w:val="00400A31"/>
    <w:rsid w:val="00402577"/>
    <w:rsid w:val="004063FA"/>
    <w:rsid w:val="004144EA"/>
    <w:rsid w:val="00424B8E"/>
    <w:rsid w:val="00443F44"/>
    <w:rsid w:val="00462169"/>
    <w:rsid w:val="004705C6"/>
    <w:rsid w:val="00486F90"/>
    <w:rsid w:val="0049528D"/>
    <w:rsid w:val="004A454B"/>
    <w:rsid w:val="004D6136"/>
    <w:rsid w:val="004F2A1C"/>
    <w:rsid w:val="004F7E55"/>
    <w:rsid w:val="00500C01"/>
    <w:rsid w:val="0052357D"/>
    <w:rsid w:val="005C1480"/>
    <w:rsid w:val="005D17A9"/>
    <w:rsid w:val="00614E5C"/>
    <w:rsid w:val="00626AD9"/>
    <w:rsid w:val="006579B5"/>
    <w:rsid w:val="00672A67"/>
    <w:rsid w:val="00691D40"/>
    <w:rsid w:val="006A3BA9"/>
    <w:rsid w:val="006A7CF3"/>
    <w:rsid w:val="006B0C16"/>
    <w:rsid w:val="007035B1"/>
    <w:rsid w:val="007162EA"/>
    <w:rsid w:val="00724DCF"/>
    <w:rsid w:val="00736AFD"/>
    <w:rsid w:val="007413E5"/>
    <w:rsid w:val="00750C0B"/>
    <w:rsid w:val="00765425"/>
    <w:rsid w:val="00772C21"/>
    <w:rsid w:val="00775021"/>
    <w:rsid w:val="00797C74"/>
    <w:rsid w:val="007E1C13"/>
    <w:rsid w:val="00816DF8"/>
    <w:rsid w:val="0083060C"/>
    <w:rsid w:val="008413FB"/>
    <w:rsid w:val="00855AA0"/>
    <w:rsid w:val="008A06F9"/>
    <w:rsid w:val="008C1744"/>
    <w:rsid w:val="008E719E"/>
    <w:rsid w:val="0090401B"/>
    <w:rsid w:val="00907DEE"/>
    <w:rsid w:val="00907E64"/>
    <w:rsid w:val="009158D2"/>
    <w:rsid w:val="00927B45"/>
    <w:rsid w:val="0093106E"/>
    <w:rsid w:val="00936BA1"/>
    <w:rsid w:val="009513AB"/>
    <w:rsid w:val="009514F8"/>
    <w:rsid w:val="0097538C"/>
    <w:rsid w:val="009C0823"/>
    <w:rsid w:val="009D4C82"/>
    <w:rsid w:val="00A03DF0"/>
    <w:rsid w:val="00A20EFF"/>
    <w:rsid w:val="00A42B8A"/>
    <w:rsid w:val="00A92BE0"/>
    <w:rsid w:val="00AB7926"/>
    <w:rsid w:val="00AC6433"/>
    <w:rsid w:val="00AF2255"/>
    <w:rsid w:val="00B06790"/>
    <w:rsid w:val="00B20160"/>
    <w:rsid w:val="00B324C1"/>
    <w:rsid w:val="00B45745"/>
    <w:rsid w:val="00B717F7"/>
    <w:rsid w:val="00B823E4"/>
    <w:rsid w:val="00B87174"/>
    <w:rsid w:val="00BA27BE"/>
    <w:rsid w:val="00BC3658"/>
    <w:rsid w:val="00BE5319"/>
    <w:rsid w:val="00BF2E31"/>
    <w:rsid w:val="00C148F8"/>
    <w:rsid w:val="00C27380"/>
    <w:rsid w:val="00C70DCF"/>
    <w:rsid w:val="00C94EF9"/>
    <w:rsid w:val="00D005B6"/>
    <w:rsid w:val="00D1350B"/>
    <w:rsid w:val="00D233CD"/>
    <w:rsid w:val="00D44FB0"/>
    <w:rsid w:val="00D93FC9"/>
    <w:rsid w:val="00DD7407"/>
    <w:rsid w:val="00DE4693"/>
    <w:rsid w:val="00DE6257"/>
    <w:rsid w:val="00E12637"/>
    <w:rsid w:val="00E1738A"/>
    <w:rsid w:val="00E40868"/>
    <w:rsid w:val="00E759E7"/>
    <w:rsid w:val="00E85DC7"/>
    <w:rsid w:val="00EA2599"/>
    <w:rsid w:val="00EA4F85"/>
    <w:rsid w:val="00EB2C01"/>
    <w:rsid w:val="00EE03B9"/>
    <w:rsid w:val="00EF6D8F"/>
    <w:rsid w:val="00F01E73"/>
    <w:rsid w:val="00F07C64"/>
    <w:rsid w:val="00F101A5"/>
    <w:rsid w:val="00F30E61"/>
    <w:rsid w:val="00F3737C"/>
    <w:rsid w:val="00F373BB"/>
    <w:rsid w:val="00F449CF"/>
    <w:rsid w:val="00F50183"/>
    <w:rsid w:val="00F65EA9"/>
    <w:rsid w:val="00F92AC5"/>
    <w:rsid w:val="00FB7591"/>
    <w:rsid w:val="00FD4171"/>
    <w:rsid w:val="00FE1123"/>
    <w:rsid w:val="00FE5F14"/>
    <w:rsid w:val="06940A89"/>
    <w:rsid w:val="09E07ED3"/>
    <w:rsid w:val="130477B3"/>
    <w:rsid w:val="28731731"/>
    <w:rsid w:val="2A7331ED"/>
    <w:rsid w:val="2DAF5D32"/>
    <w:rsid w:val="306269C5"/>
    <w:rsid w:val="34477289"/>
    <w:rsid w:val="3C554D24"/>
    <w:rsid w:val="41316C91"/>
    <w:rsid w:val="4DF41C79"/>
    <w:rsid w:val="50DD68AB"/>
    <w:rsid w:val="7164346D"/>
    <w:rsid w:val="79314EE8"/>
    <w:rsid w:val="7E385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wxd</Company>
  <Pages>4</Pages>
  <Words>194</Words>
  <Characters>1110</Characters>
  <Lines>9</Lines>
  <Paragraphs>2</Paragraphs>
  <TotalTime>5</TotalTime>
  <ScaleCrop>false</ScaleCrop>
  <LinksUpToDate>false</LinksUpToDate>
  <CharactersWithSpaces>1302</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2024-03-12T01:12:00Z</dcterms:created>
  <dc:creator>XJS</dc:creator>
  <cp:lastModifiedBy>Administrator</cp:lastModifiedBy>
  <dcterms:modified xsi:type="dcterms:W3CDTF">2024-08-21T07:33:24Z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139A7D3B76D14A899D792E99437D8BA4</vt:lpwstr>
  </property>
</Properties>
</file>