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ascii="方正小标宋简体" w:eastAsia="方正小标宋简体" w:cs="宋体"/>
          <w:b/>
          <w:kern w:val="0"/>
          <w:sz w:val="32"/>
          <w:szCs w:val="32"/>
        </w:rPr>
      </w:pPr>
    </w:p>
    <w:p>
      <w:pPr>
        <w:autoSpaceDE w:val="0"/>
        <w:autoSpaceDN w:val="0"/>
        <w:adjustRightInd w:val="0"/>
        <w:spacing w:line="0" w:lineRule="atLeast"/>
        <w:jc w:val="center"/>
        <w:rPr>
          <w:rFonts w:ascii="方正大标宋简体" w:eastAsia="方正大标宋简体" w:cs="宋体"/>
          <w:bCs/>
          <w:kern w:val="0"/>
          <w:sz w:val="44"/>
          <w:szCs w:val="44"/>
        </w:rPr>
      </w:pPr>
      <w:r>
        <w:rPr>
          <w:rFonts w:hint="eastAsia" w:ascii="方正大标宋简体" w:eastAsia="方正大标宋简体" w:cs="宋体"/>
          <w:bCs/>
          <w:kern w:val="0"/>
          <w:sz w:val="44"/>
          <w:szCs w:val="44"/>
        </w:rPr>
        <w:t>基于一体化平台的无线电管理信息化应用研究采购内容及要求</w:t>
      </w:r>
    </w:p>
    <w:p>
      <w:pPr>
        <w:autoSpaceDE w:val="0"/>
        <w:autoSpaceDN w:val="0"/>
        <w:adjustRightInd w:val="0"/>
        <w:ind w:firstLine="2090" w:firstLineChars="1100"/>
        <w:jc w:val="left"/>
        <w:rPr>
          <w:rFonts w:ascii="宋体" w:eastAsia="宋体" w:cs="宋体"/>
          <w:kern w:val="0"/>
          <w:sz w:val="19"/>
          <w:szCs w:val="19"/>
        </w:rPr>
      </w:pPr>
    </w:p>
    <w:p>
      <w:pPr>
        <w:pStyle w:val="8"/>
        <w:numPr>
          <w:ilvl w:val="0"/>
          <w:numId w:val="1"/>
        </w:numPr>
        <w:autoSpaceDE w:val="0"/>
        <w:autoSpaceDN w:val="0"/>
        <w:adjustRightInd w:val="0"/>
        <w:ind w:left="567" w:hanging="142" w:firstLineChars="0"/>
        <w:jc w:val="left"/>
        <w:rPr>
          <w:rFonts w:ascii="黑体" w:hAnsi="黑体" w:eastAsia="黑体" w:cs="宋体"/>
          <w:kern w:val="0"/>
          <w:sz w:val="32"/>
          <w:szCs w:val="32"/>
        </w:rPr>
      </w:pPr>
      <w:r>
        <w:rPr>
          <w:rFonts w:hint="eastAsia" w:ascii="黑体" w:hAnsi="黑体" w:eastAsia="黑体" w:cs="宋体"/>
          <w:kern w:val="0"/>
          <w:sz w:val="32"/>
          <w:szCs w:val="32"/>
        </w:rPr>
        <w:t>技术标准与要求</w:t>
      </w:r>
    </w:p>
    <w:tbl>
      <w:tblPr>
        <w:tblStyle w:val="7"/>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88" w:type="dxa"/>
            <w:vAlign w:val="center"/>
          </w:tcPr>
          <w:p>
            <w:pPr>
              <w:autoSpaceDE w:val="0"/>
              <w:autoSpaceDN w:val="0"/>
              <w:adjustRightInd w:val="0"/>
              <w:jc w:val="center"/>
              <w:rPr>
                <w:rFonts w:ascii="方正小标宋简体" w:hAnsi="黑体" w:eastAsia="方正小标宋简体" w:cs="宋体"/>
                <w:b/>
                <w:color w:val="000000" w:themeColor="text1"/>
                <w:kern w:val="0"/>
                <w:sz w:val="32"/>
                <w:szCs w:val="32"/>
                <w14:textFill>
                  <w14:solidFill>
                    <w14:schemeClr w14:val="tx1"/>
                  </w14:solidFill>
                </w14:textFill>
              </w:rPr>
            </w:pPr>
            <w:r>
              <w:rPr>
                <w:rFonts w:hint="eastAsia" w:ascii="方正小标宋简体" w:hAnsi="黑体" w:eastAsia="方正小标宋简体" w:cs="宋体"/>
                <w:color w:val="000000" w:themeColor="text1"/>
                <w:kern w:val="0"/>
                <w:sz w:val="32"/>
                <w:szCs w:val="32"/>
                <w14:textFill>
                  <w14:solidFill>
                    <w14:schemeClr w14:val="tx1"/>
                  </w14:solidFill>
                </w14:textFill>
              </w:rPr>
              <w:t>序号</w:t>
            </w:r>
          </w:p>
        </w:tc>
        <w:tc>
          <w:tcPr>
            <w:tcW w:w="8081" w:type="dxa"/>
            <w:vAlign w:val="center"/>
          </w:tcPr>
          <w:p>
            <w:pPr>
              <w:autoSpaceDE w:val="0"/>
              <w:autoSpaceDN w:val="0"/>
              <w:adjustRightInd w:val="0"/>
              <w:jc w:val="center"/>
              <w:rPr>
                <w:rFonts w:ascii="方正小标宋简体" w:hAnsi="黑体" w:eastAsia="方正小标宋简体" w:cs="宋体"/>
                <w:b/>
                <w:color w:val="000000" w:themeColor="text1"/>
                <w:kern w:val="0"/>
                <w:sz w:val="32"/>
                <w:szCs w:val="32"/>
                <w14:textFill>
                  <w14:solidFill>
                    <w14:schemeClr w14:val="tx1"/>
                  </w14:solidFill>
                </w14:textFill>
              </w:rPr>
            </w:pPr>
            <w:r>
              <w:rPr>
                <w:rFonts w:hint="eastAsia" w:ascii="方正小标宋简体" w:hAnsi="黑体" w:eastAsia="方正小标宋简体" w:cs="宋体"/>
                <w:color w:val="000000" w:themeColor="text1"/>
                <w:kern w:val="0"/>
                <w:sz w:val="32"/>
                <w:szCs w:val="32"/>
                <w14:textFill>
                  <w14:solidFill>
                    <w14:schemeClr w14:val="tx1"/>
                  </w14:solidFill>
                </w14:textFill>
              </w:rPr>
              <w:t>具体技术</w:t>
            </w:r>
            <w:r>
              <w:rPr>
                <w:rFonts w:hint="eastAsia" w:ascii="方正小标宋简体" w:hAnsi="黑体" w:eastAsia="方正小标宋简体" w:cs="DejaVuSans-Bold"/>
                <w:b/>
                <w:bCs/>
                <w:color w:val="000000" w:themeColor="text1"/>
                <w:kern w:val="0"/>
                <w:sz w:val="32"/>
                <w:szCs w:val="32"/>
                <w14:textFill>
                  <w14:solidFill>
                    <w14:schemeClr w14:val="tx1"/>
                  </w14:solidFill>
                </w14:textFill>
              </w:rPr>
              <w:t>（</w:t>
            </w:r>
            <w:r>
              <w:rPr>
                <w:rFonts w:hint="eastAsia" w:ascii="方正小标宋简体" w:hAnsi="黑体" w:eastAsia="方正小标宋简体" w:cs="宋体"/>
                <w:color w:val="000000" w:themeColor="text1"/>
                <w:kern w:val="0"/>
                <w:sz w:val="32"/>
                <w:szCs w:val="32"/>
                <w14:textFill>
                  <w14:solidFill>
                    <w14:schemeClr w14:val="tx1"/>
                  </w14:solidFill>
                </w14:textFill>
              </w:rPr>
              <w:t>参数</w:t>
            </w:r>
            <w:r>
              <w:rPr>
                <w:rFonts w:hint="eastAsia" w:ascii="方正小标宋简体" w:hAnsi="黑体" w:eastAsia="方正小标宋简体" w:cs="DejaVuSans-Bold"/>
                <w:b/>
                <w:bCs/>
                <w:color w:val="000000" w:themeColor="text1"/>
                <w:kern w:val="0"/>
                <w:sz w:val="32"/>
                <w:szCs w:val="32"/>
                <w14:textFill>
                  <w14:solidFill>
                    <w14:schemeClr w14:val="tx1"/>
                  </w14:solidFill>
                </w14:textFill>
              </w:rPr>
              <w:t>）</w:t>
            </w:r>
            <w:r>
              <w:rPr>
                <w:rFonts w:hint="eastAsia" w:ascii="方正小标宋简体" w:hAnsi="黑体" w:eastAsia="方正小标宋简体" w:cs="宋体"/>
                <w:color w:val="000000" w:themeColor="text1"/>
                <w:kern w:val="0"/>
                <w:sz w:val="32"/>
                <w:szCs w:val="32"/>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7" w:hRule="atLeast"/>
        </w:trPr>
        <w:tc>
          <w:tcPr>
            <w:tcW w:w="988" w:type="dxa"/>
            <w:vAlign w:val="center"/>
          </w:tcPr>
          <w:p>
            <w:pPr>
              <w:autoSpaceDE w:val="0"/>
              <w:autoSpaceDN w:val="0"/>
              <w:adjustRightInd w:val="0"/>
              <w:spacing w:line="360" w:lineRule="exact"/>
              <w:ind w:left="-143" w:leftChars="-68"/>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一、名称及预算</w:t>
            </w:r>
          </w:p>
          <w:p>
            <w:pPr>
              <w:autoSpaceDE w:val="0"/>
              <w:autoSpaceDN w:val="0"/>
              <w:adjustRightInd w:val="0"/>
              <w:spacing w:line="360" w:lineRule="exact"/>
              <w:ind w:left="20" w:leftChars="-67" w:hanging="161" w:hangingChars="50"/>
              <w:rPr>
                <w:rFonts w:ascii="仿宋_GB2312" w:eastAsia="仿宋_GB2312" w:cs="宋体"/>
                <w:b/>
                <w:color w:val="000000" w:themeColor="text1"/>
                <w:kern w:val="0"/>
                <w:sz w:val="32"/>
                <w:szCs w:val="32"/>
                <w14:textFill>
                  <w14:solidFill>
                    <w14:schemeClr w14:val="tx1"/>
                  </w14:solidFill>
                </w14:textFill>
              </w:rPr>
            </w:pPr>
          </w:p>
        </w:tc>
        <w:tc>
          <w:tcPr>
            <w:tcW w:w="8081" w:type="dxa"/>
          </w:tcPr>
          <w:p>
            <w:pPr>
              <w:keepNext w:val="0"/>
              <w:keepLines w:val="0"/>
              <w:pageBreakBefore w:val="0"/>
              <w:widowControl w:val="0"/>
              <w:kinsoku/>
              <w:wordWrap/>
              <w:overflowPunct/>
              <w:topLinePunct w:val="0"/>
              <w:autoSpaceDE w:val="0"/>
              <w:autoSpaceDN w:val="0"/>
              <w:bidi w:val="0"/>
              <w:adjustRightInd w:val="0"/>
              <w:snapToGrid/>
              <w:ind w:left="-2" w:leftChars="-1" w:firstLine="704" w:firstLineChars="220"/>
              <w:textAlignment w:val="auto"/>
              <w:outlineLvl w:val="9"/>
              <w:rPr>
                <w:rFonts w:hint="eastAsia" w:ascii="仿宋_GB2312" w:eastAsia="仿宋_GB2312" w:cs="宋体"/>
                <w:color w:val="000000" w:themeColor="text1"/>
                <w:kern w:val="0"/>
                <w:sz w:val="32"/>
                <w:szCs w:val="32"/>
                <w:lang w:eastAsia="zh-CN"/>
                <w14:textFill>
                  <w14:solidFill>
                    <w14:schemeClr w14:val="tx1"/>
                  </w14:solidFill>
                </w14:textFill>
              </w:rPr>
            </w:pPr>
            <w:r>
              <w:rPr>
                <w:rFonts w:hint="eastAsia" w:ascii="仿宋_GB2312" w:eastAsia="仿宋_GB2312" w:cs="DejaVuSans"/>
                <w:color w:val="000000"/>
                <w:kern w:val="0"/>
                <w:sz w:val="32"/>
                <w:szCs w:val="32"/>
              </w:rPr>
              <w:t>1.名称：</w:t>
            </w:r>
            <w:r>
              <w:rPr>
                <w:rFonts w:hint="eastAsia" w:ascii="仿宋_GB2312" w:eastAsia="仿宋_GB2312" w:cs="宋体"/>
                <w:color w:val="000000" w:themeColor="text1"/>
                <w:kern w:val="0"/>
                <w:sz w:val="32"/>
                <w:szCs w:val="32"/>
                <w14:textFill>
                  <w14:solidFill>
                    <w14:schemeClr w14:val="tx1"/>
                  </w14:solidFill>
                </w14:textFill>
              </w:rPr>
              <w:t>基于一体化平台的无线电管理信息化应用研究</w:t>
            </w:r>
            <w:r>
              <w:rPr>
                <w:rFonts w:hint="eastAsia" w:ascii="仿宋_GB2312"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ind w:left="-2" w:leftChars="-1" w:firstLine="704" w:firstLineChars="220"/>
              <w:textAlignment w:val="auto"/>
              <w:outlineLvl w:val="9"/>
              <w:rPr>
                <w:rFonts w:ascii="仿宋_GB2312" w:eastAsia="仿宋_GB2312" w:cs="DejaVuSans"/>
                <w:color w:val="000000"/>
                <w:kern w:val="0"/>
                <w:sz w:val="32"/>
                <w:szCs w:val="32"/>
              </w:rPr>
            </w:pPr>
            <w:r>
              <w:rPr>
                <w:rFonts w:hint="eastAsia" w:ascii="仿宋_GB2312" w:eastAsia="仿宋_GB2312" w:cs="DejaVuSans"/>
                <w:color w:val="000000"/>
                <w:kern w:val="0"/>
                <w:sz w:val="32"/>
                <w:szCs w:val="32"/>
              </w:rPr>
              <w:t>2.限价：最高限价为人民币</w:t>
            </w:r>
            <w:r>
              <w:rPr>
                <w:rFonts w:hint="eastAsia" w:ascii="仿宋_GB2312" w:eastAsia="仿宋_GB2312" w:cs="DejaVuSans"/>
                <w:color w:val="000000"/>
                <w:kern w:val="0"/>
                <w:sz w:val="32"/>
                <w:szCs w:val="32"/>
                <w:lang w:val="en-US" w:eastAsia="zh-CN"/>
              </w:rPr>
              <w:t>39.8</w:t>
            </w:r>
            <w:r>
              <w:rPr>
                <w:rFonts w:hint="eastAsia" w:ascii="仿宋_GB2312" w:eastAsia="仿宋_GB2312" w:cs="DejaVuSans"/>
                <w:color w:val="000000"/>
                <w:kern w:val="0"/>
                <w:sz w:val="32"/>
                <w:szCs w:val="32"/>
              </w:rPr>
              <w:t>万元(包括但不限于：研究费用、专家费、调研差旅费、资料费、项目验收费、税费等)，凡超出最高限价的，一律视为无效响应。</w:t>
            </w:r>
          </w:p>
          <w:p>
            <w:pPr>
              <w:keepNext w:val="0"/>
              <w:keepLines w:val="0"/>
              <w:pageBreakBefore w:val="0"/>
              <w:widowControl w:val="0"/>
              <w:kinsoku/>
              <w:wordWrap/>
              <w:overflowPunct/>
              <w:topLinePunct w:val="0"/>
              <w:autoSpaceDE w:val="0"/>
              <w:autoSpaceDN w:val="0"/>
              <w:bidi w:val="0"/>
              <w:adjustRightInd w:val="0"/>
              <w:snapToGrid/>
              <w:ind w:left="-2" w:leftChars="-1" w:firstLine="704" w:firstLineChars="220"/>
              <w:textAlignment w:val="auto"/>
              <w:outlineLvl w:val="9"/>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kern w:val="0"/>
                <w:sz w:val="32"/>
                <w:szCs w:val="32"/>
              </w:rPr>
              <w:t>响应报价应为人民币含税包干价，包括可预见和不可预见的一切费用。采购人不再另行支付除成交金额以外的任何费用。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9" w:hRule="atLeast"/>
        </w:trPr>
        <w:tc>
          <w:tcPr>
            <w:tcW w:w="988" w:type="dxa"/>
            <w:vAlign w:val="center"/>
          </w:tcPr>
          <w:p>
            <w:pPr>
              <w:autoSpaceDE w:val="0"/>
              <w:autoSpaceDN w:val="0"/>
              <w:adjustRightInd w:val="0"/>
              <w:spacing w:line="360" w:lineRule="exact"/>
              <w:ind w:left="-143" w:leftChars="-68"/>
              <w:rPr>
                <w:rFonts w:ascii="仿宋_GB2312" w:eastAsia="仿宋_GB2312" w:cs="宋体"/>
                <w:b/>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二、主要目标</w:t>
            </w:r>
          </w:p>
        </w:tc>
        <w:tc>
          <w:tcPr>
            <w:tcW w:w="8081" w:type="dxa"/>
          </w:tcPr>
          <w:p>
            <w:pPr>
              <w:autoSpaceDE w:val="0"/>
              <w:autoSpaceDN w:val="0"/>
              <w:adjustRightInd w:val="0"/>
              <w:ind w:left="-2" w:leftChars="-1" w:firstLine="704" w:firstLineChars="220"/>
              <w:rPr>
                <w:rFonts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立足加快互联、共享、融合、赋能的“全省一张网”建设，聚焦无线电管理一体化平台运行效能提升，规划无线电管理信息化应用迭代演进，不断丰富无线电管理各类数字资源，逐步累积“立足内部数据应用，面向行业服务开放”的能力，高效推进福建省无线电管理行业数字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jc w:val="center"/>
              <w:rPr>
                <w:rFonts w:hint="eastAsia" w:ascii="黑体" w:hAnsi="黑体" w:eastAsia="黑体" w:cs="宋体"/>
                <w:color w:val="000000"/>
                <w:kern w:val="0"/>
                <w:sz w:val="28"/>
                <w:szCs w:val="28"/>
              </w:rPr>
            </w:pPr>
          </w:p>
          <w:p>
            <w:pPr>
              <w:autoSpaceDE w:val="0"/>
              <w:autoSpaceDN w:val="0"/>
              <w:adjustRightInd w:val="0"/>
              <w:spacing w:line="360" w:lineRule="exact"/>
              <w:ind w:left="-143" w:leftChars="-68"/>
              <w:jc w:val="center"/>
              <w:rPr>
                <w:rFonts w:ascii="仿宋_GB2312" w:eastAsia="仿宋_GB2312" w:cs="宋体"/>
                <w:b/>
                <w:color w:val="000000" w:themeColor="text1"/>
                <w:kern w:val="0"/>
                <w:sz w:val="32"/>
                <w:szCs w:val="32"/>
                <w14:textFill>
                  <w14:solidFill>
                    <w14:schemeClr w14:val="tx1"/>
                  </w14:solidFill>
                </w14:textFill>
              </w:rPr>
            </w:pPr>
            <w:r>
              <w:rPr>
                <w:rFonts w:hint="eastAsia" w:ascii="黑体" w:hAnsi="黑体" w:eastAsia="黑体" w:cs="宋体"/>
                <w:color w:val="000000"/>
                <w:kern w:val="0"/>
                <w:sz w:val="28"/>
                <w:szCs w:val="28"/>
              </w:rPr>
              <w:t>三、服务内容</w:t>
            </w:r>
          </w:p>
        </w:tc>
        <w:tc>
          <w:tcPr>
            <w:tcW w:w="8081" w:type="dxa"/>
          </w:tcPr>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w:t>
            </w:r>
            <w:r>
              <w:rPr>
                <w:rFonts w:hint="eastAsia"/>
              </w:rPr>
              <w:t xml:space="preserve"> </w:t>
            </w:r>
            <w:r>
              <w:rPr>
                <w:rFonts w:hint="eastAsia" w:ascii="仿宋_GB2312" w:eastAsia="仿宋_GB2312" w:cs="DejaVuSans"/>
                <w:color w:val="000000" w:themeColor="text1"/>
                <w:kern w:val="0"/>
                <w:sz w:val="32"/>
                <w:szCs w:val="32"/>
                <w14:textFill>
                  <w14:solidFill>
                    <w14:schemeClr w14:val="tx1"/>
                  </w14:solidFill>
                </w14:textFill>
              </w:rPr>
              <w:t>结合《省级无线电管理一体化平台建设规范及技术要求（</w:t>
            </w:r>
            <w:r>
              <w:rPr>
                <w:rFonts w:ascii="仿宋_GB2312" w:eastAsia="仿宋_GB2312" w:cs="DejaVuSans"/>
                <w:color w:val="000000" w:themeColor="text1"/>
                <w:kern w:val="0"/>
                <w:sz w:val="32"/>
                <w:szCs w:val="32"/>
                <w14:textFill>
                  <w14:solidFill>
                    <w14:schemeClr w14:val="tx1"/>
                  </w14:solidFill>
                </w14:textFill>
              </w:rPr>
              <w:t>2023版）》等国家有关无线电管理信息化有关文件要求，梳理福建省无线电管理信息化现状和存在问题</w:t>
            </w:r>
            <w:r>
              <w:rPr>
                <w:rFonts w:hint="eastAsia" w:ascii="仿宋_GB2312" w:eastAsia="仿宋_GB2312" w:cs="宋体"/>
                <w:color w:val="000000" w:themeColor="text1"/>
                <w:kern w:val="0"/>
                <w:sz w:val="32"/>
                <w:szCs w:val="32"/>
                <w14:textFill>
                  <w14:solidFill>
                    <w14:schemeClr w14:val="tx1"/>
                  </w14:solidFill>
                </w14:textFill>
              </w:rPr>
              <w:t>；</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2.</w:t>
            </w:r>
            <w:r>
              <w:rPr>
                <w:rFonts w:hint="eastAsia"/>
              </w:rPr>
              <w:t xml:space="preserve"> </w:t>
            </w:r>
            <w:r>
              <w:rPr>
                <w:rFonts w:hint="eastAsia" w:ascii="仿宋_GB2312" w:eastAsia="仿宋_GB2312" w:cs="DejaVuSans"/>
                <w:color w:val="000000" w:themeColor="text1"/>
                <w:kern w:val="0"/>
                <w:sz w:val="32"/>
                <w:szCs w:val="32"/>
                <w14:textFill>
                  <w14:solidFill>
                    <w14:schemeClr w14:val="tx1"/>
                  </w14:solidFill>
                </w14:textFill>
              </w:rPr>
              <w:t>结合无线电监管工作需要和业务发展趋势，开展无线电管理信息化需求分析；</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3.</w:t>
            </w:r>
            <w:r>
              <w:rPr>
                <w:rFonts w:hint="eastAsia"/>
              </w:rPr>
              <w:t xml:space="preserve"> </w:t>
            </w:r>
            <w:r>
              <w:rPr>
                <w:rFonts w:hint="eastAsia" w:ascii="仿宋_GB2312" w:eastAsia="仿宋_GB2312" w:cs="DejaVuSans"/>
                <w:color w:val="000000" w:themeColor="text1"/>
                <w:kern w:val="0"/>
                <w:sz w:val="32"/>
                <w:szCs w:val="32"/>
                <w14:textFill>
                  <w14:solidFill>
                    <w14:schemeClr w14:val="tx1"/>
                  </w14:solidFill>
                </w14:textFill>
              </w:rPr>
              <w:t>搭建福建省无线电管理信息化总体构架；以无线电监测数据和无线电频率台站数据为基础，以日常工作需求为导向，提出应用系统建设方向、实施规划；完善无线电管理一体化平台（基础平台</w:t>
            </w:r>
            <w:r>
              <w:rPr>
                <w:rFonts w:ascii="仿宋_GB2312" w:eastAsia="仿宋_GB2312" w:cs="DejaVuSans"/>
                <w:color w:val="000000" w:themeColor="text1"/>
                <w:kern w:val="0"/>
                <w:sz w:val="32"/>
                <w:szCs w:val="32"/>
                <w14:textFill>
                  <w14:solidFill>
                    <w14:schemeClr w14:val="tx1"/>
                  </w14:solidFill>
                </w14:textFill>
              </w:rPr>
              <w:t>+数据中台）、网络等基础设施建设内容，并提出相关实施策略建议</w:t>
            </w:r>
            <w:r>
              <w:rPr>
                <w:rFonts w:hint="eastAsia" w:ascii="仿宋_GB2312" w:eastAsia="仿宋_GB2312" w:cs="宋体"/>
                <w:color w:val="000000" w:themeColor="text1"/>
                <w:kern w:val="0"/>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四、服务要求</w:t>
            </w:r>
          </w:p>
          <w:p>
            <w:pPr>
              <w:autoSpaceDE w:val="0"/>
              <w:autoSpaceDN w:val="0"/>
              <w:adjustRightInd w:val="0"/>
              <w:spacing w:line="360" w:lineRule="exact"/>
              <w:rPr>
                <w:rFonts w:ascii="仿宋_GB2312" w:eastAsia="仿宋_GB2312" w:cs="宋体"/>
                <w:b/>
                <w:color w:val="000000" w:themeColor="text1"/>
                <w:kern w:val="0"/>
                <w:sz w:val="32"/>
                <w:szCs w:val="32"/>
                <w14:textFill>
                  <w14:solidFill>
                    <w14:schemeClr w14:val="tx1"/>
                  </w14:solidFill>
                </w14:textFill>
              </w:rPr>
            </w:pPr>
          </w:p>
        </w:tc>
        <w:tc>
          <w:tcPr>
            <w:tcW w:w="8081" w:type="dxa"/>
          </w:tcPr>
          <w:p>
            <w:pPr>
              <w:autoSpaceDE w:val="0"/>
              <w:autoSpaceDN w:val="0"/>
              <w:adjustRightInd w:val="0"/>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1.服务时间：2024年1</w:t>
            </w: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rPr>
              <w:t>月3</w:t>
            </w:r>
            <w:r>
              <w:rPr>
                <w:rFonts w:hint="eastAsia" w:ascii="仿宋" w:hAnsi="仿宋" w:eastAsia="仿宋" w:cs="仿宋"/>
                <w:color w:val="000000"/>
                <w:kern w:val="0"/>
                <w:sz w:val="32"/>
                <w:szCs w:val="32"/>
                <w:shd w:val="clear" w:color="auto" w:fill="FFFFFF"/>
                <w:lang w:val="en-US" w:eastAsia="zh-CN"/>
              </w:rPr>
              <w:t>0</w:t>
            </w:r>
            <w:r>
              <w:rPr>
                <w:rFonts w:hint="eastAsia" w:ascii="仿宋" w:hAnsi="仿宋" w:eastAsia="仿宋" w:cs="仿宋"/>
                <w:color w:val="000000"/>
                <w:kern w:val="0"/>
                <w:sz w:val="32"/>
                <w:szCs w:val="32"/>
                <w:shd w:val="clear" w:color="auto" w:fill="FFFFFF"/>
              </w:rPr>
              <w:t>日前完成专家评审并结题。</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 w:hAnsi="仿宋" w:eastAsia="仿宋" w:cs="仿宋"/>
                <w:color w:val="000000"/>
                <w:kern w:val="0"/>
                <w:sz w:val="32"/>
                <w:szCs w:val="32"/>
                <w:shd w:val="clear" w:color="auto" w:fill="FFFFFF"/>
              </w:rPr>
              <w:t>2.供应商能够针对本项目组建专门的研究团队，</w:t>
            </w:r>
            <w:r>
              <w:rPr>
                <w:rFonts w:hint="eastAsia" w:ascii="仿宋_GB2312" w:eastAsia="仿宋_GB2312" w:cs="宋体"/>
                <w:color w:val="000000" w:themeColor="text1"/>
                <w:kern w:val="0"/>
                <w:sz w:val="32"/>
                <w:szCs w:val="32"/>
                <w14:textFill>
                  <w14:solidFill>
                    <w14:schemeClr w14:val="tx1"/>
                  </w14:solidFill>
                </w14:textFill>
              </w:rPr>
              <w:t>熟悉无线电管理软课题研究，具备研究技术实力，并具有丰富国家和地方无线电管理机构支撑经验；</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3.供应商不得将本项目分包或拆包，供应商应根据采购人的要求提供完整的服务。</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4.供应商在实施过程中，应与采购人联系沟通及汇报工作，发现问题及时上报。</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5.供应商在实施过程中所形成的有关调查材料，应整理成册归档，以便采购人调阅。</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lang w:val="en-US" w:eastAsia="zh-CN"/>
                <w14:textFill>
                  <w14:solidFill>
                    <w14:schemeClr w14:val="tx1"/>
                  </w14:solidFill>
                </w14:textFill>
              </w:rPr>
              <w:t>6</w:t>
            </w:r>
            <w:r>
              <w:rPr>
                <w:rFonts w:hint="eastAsia" w:ascii="仿宋_GB2312" w:eastAsia="仿宋_GB2312" w:cs="宋体"/>
                <w:color w:val="000000" w:themeColor="text1"/>
                <w:kern w:val="0"/>
                <w:sz w:val="32"/>
                <w:szCs w:val="32"/>
                <w14:textFill>
                  <w14:solidFill>
                    <w14:schemeClr w14:val="tx1"/>
                  </w14:solidFill>
                </w14:textFill>
              </w:rPr>
              <w:t>.供应商对执行本项目过程中知悉的涉密信息严加保密，不得将其知悉的秘密和采购人提供的资料对外泄露。</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.采购人对服务供应商的研究成果组织不少于3名专家进行专业评审，所需经费由服务供应商负责。服务供应商按评审意见修改完善并提交研究成果终稿后课题结题。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五、项目成果要求</w:t>
            </w:r>
          </w:p>
          <w:p>
            <w:pPr>
              <w:autoSpaceDE w:val="0"/>
              <w:autoSpaceDN w:val="0"/>
              <w:adjustRightInd w:val="0"/>
              <w:jc w:val="center"/>
              <w:rPr>
                <w:rFonts w:ascii="仿宋_GB2312" w:eastAsia="仿宋_GB2312" w:cs="宋体"/>
                <w:b/>
                <w:color w:val="000000" w:themeColor="text1"/>
                <w:kern w:val="0"/>
                <w:sz w:val="32"/>
                <w:szCs w:val="32"/>
                <w14:textFill>
                  <w14:solidFill>
                    <w14:schemeClr w14:val="tx1"/>
                  </w14:solidFill>
                </w14:textFill>
              </w:rPr>
            </w:pPr>
          </w:p>
        </w:tc>
        <w:tc>
          <w:tcPr>
            <w:tcW w:w="8081" w:type="dxa"/>
          </w:tcPr>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w:t>
            </w:r>
            <w:r>
              <w:rPr>
                <w:rFonts w:hint="eastAsia" w:ascii="仿宋_GB2312" w:eastAsia="仿宋_GB2312" w:cs="宋体"/>
                <w:color w:val="000000" w:themeColor="text1"/>
                <w:kern w:val="0"/>
                <w:sz w:val="32"/>
                <w:szCs w:val="32"/>
                <w14:textFill>
                  <w14:solidFill>
                    <w14:schemeClr w14:val="tx1"/>
                  </w14:solidFill>
                </w14:textFill>
              </w:rPr>
              <w:t>成果构成</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形成基于一体化平台的无线电管理信息化应用研究</w:t>
            </w:r>
            <w:r>
              <w:rPr>
                <w:rFonts w:ascii="仿宋_GB2312" w:eastAsia="仿宋_GB2312" w:cs="DejaVuSans"/>
                <w:color w:val="000000" w:themeColor="text1"/>
                <w:kern w:val="0"/>
                <w:sz w:val="32"/>
                <w:szCs w:val="32"/>
                <w14:textFill>
                  <w14:solidFill>
                    <w14:schemeClr w14:val="tx1"/>
                  </w14:solidFill>
                </w14:textFill>
              </w:rPr>
              <w:t>报告</w:t>
            </w:r>
            <w:r>
              <w:rPr>
                <w:rFonts w:hint="eastAsia" w:ascii="仿宋_GB2312" w:eastAsia="仿宋_GB2312" w:cs="DejaVuSans"/>
                <w:color w:val="000000" w:themeColor="text1"/>
                <w:kern w:val="0"/>
                <w:sz w:val="32"/>
                <w:szCs w:val="32"/>
                <w14:textFill>
                  <w14:solidFill>
                    <w14:schemeClr w14:val="tx1"/>
                  </w14:solidFill>
                </w14:textFill>
              </w:rPr>
              <w:t>并通过专家评审</w:t>
            </w:r>
            <w:r>
              <w:rPr>
                <w:rFonts w:hint="eastAsia" w:ascii="仿宋_GB2312" w:eastAsia="仿宋_GB2312" w:cs="宋体"/>
                <w:color w:val="000000" w:themeColor="text1"/>
                <w:kern w:val="0"/>
                <w:sz w:val="32"/>
                <w:szCs w:val="32"/>
                <w14:textFill>
                  <w14:solidFill>
                    <w14:schemeClr w14:val="tx1"/>
                  </w14:solidFill>
                </w14:textFill>
              </w:rPr>
              <w:t>。</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2.成果规范</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文本文件</w:t>
            </w:r>
            <w:r>
              <w:rPr>
                <w:rFonts w:hint="eastAsia" w:ascii="仿宋_GB2312" w:eastAsia="仿宋_GB2312" w:cs="宋体"/>
                <w:color w:val="000000" w:themeColor="text1"/>
                <w:kern w:val="0"/>
                <w:sz w:val="32"/>
                <w:szCs w:val="32"/>
                <w14:textFill>
                  <w14:solidFill>
                    <w14:schemeClr w14:val="tx1"/>
                  </w14:solidFill>
                </w14:textFill>
              </w:rPr>
              <w:t>必须做到清晰、完整、准确。提交的正式工作成果须加注采购人名称、供应商名称名单。</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3.成果格式</w:t>
            </w:r>
          </w:p>
          <w:p>
            <w:pPr>
              <w:autoSpaceDE w:val="0"/>
              <w:autoSpaceDN w:val="0"/>
              <w:adjustRightInd w:val="0"/>
              <w:ind w:left="-2" w:leftChars="-1" w:firstLine="704" w:firstLineChars="220"/>
              <w:rPr>
                <w:rFonts w:ascii="仿宋_GB2312" w:eastAsia="仿宋_GB2312" w:cs="宋体"/>
                <w:b/>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全部成果均应制作计算机数据文件，文本文件采用word格式文件，图形文件采用JPG格式文件，汇报演示文件采用PPT格式，提供研究报告文稿的书面装订文本</w:t>
            </w:r>
            <w:r>
              <w:rPr>
                <w:rFonts w:hint="eastAsia" w:ascii="仿宋_GB2312" w:eastAsia="仿宋_GB2312" w:cs="DejaVuSans"/>
                <w:color w:val="000000" w:themeColor="text1"/>
                <w:kern w:val="0"/>
                <w:sz w:val="32"/>
                <w:szCs w:val="32"/>
                <w14:textFill>
                  <w14:solidFill>
                    <w14:schemeClr w14:val="tx1"/>
                  </w14:solidFill>
                </w14:textFill>
              </w:rPr>
              <w:t>5</w:t>
            </w:r>
            <w:r>
              <w:rPr>
                <w:rFonts w:hint="eastAsia" w:ascii="仿宋_GB2312" w:eastAsia="仿宋_GB2312" w:cs="宋体"/>
                <w:color w:val="000000" w:themeColor="text1"/>
                <w:kern w:val="0"/>
                <w:sz w:val="32"/>
                <w:szCs w:val="32"/>
                <w14:textFill>
                  <w14:solidFill>
                    <w14:schemeClr w14:val="tx1"/>
                  </w14:solidFill>
                </w14:textFill>
              </w:rPr>
              <w:t>份和电子文本</w:t>
            </w:r>
            <w:r>
              <w:rPr>
                <w:rFonts w:hint="eastAsia" w:ascii="仿宋_GB2312" w:eastAsia="仿宋_GB2312" w:cs="DejaVuSans"/>
                <w:color w:val="000000" w:themeColor="text1"/>
                <w:kern w:val="0"/>
                <w:sz w:val="32"/>
                <w:szCs w:val="32"/>
                <w14:textFill>
                  <w14:solidFill>
                    <w14:schemeClr w14:val="tx1"/>
                  </w14:solidFill>
                </w14:textFill>
              </w:rPr>
              <w:t>1</w:t>
            </w:r>
            <w:r>
              <w:rPr>
                <w:rFonts w:hint="eastAsia" w:ascii="仿宋_GB2312" w:eastAsia="仿宋_GB2312" w:cs="宋体"/>
                <w:color w:val="000000" w:themeColor="text1"/>
                <w:kern w:val="0"/>
                <w:sz w:val="32"/>
                <w:szCs w:val="32"/>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六、附则</w:t>
            </w:r>
          </w:p>
          <w:p>
            <w:pPr>
              <w:autoSpaceDE w:val="0"/>
              <w:autoSpaceDN w:val="0"/>
              <w:adjustRightInd w:val="0"/>
              <w:spacing w:line="360" w:lineRule="exact"/>
              <w:rPr>
                <w:rFonts w:ascii="仿宋_GB2312" w:eastAsia="仿宋_GB2312" w:cs="宋体"/>
                <w:b/>
                <w:color w:val="000000" w:themeColor="text1"/>
                <w:kern w:val="0"/>
                <w:sz w:val="32"/>
                <w:szCs w:val="32"/>
                <w14:textFill>
                  <w14:solidFill>
                    <w14:schemeClr w14:val="tx1"/>
                  </w14:solidFill>
                </w14:textFill>
              </w:rPr>
            </w:pPr>
          </w:p>
        </w:tc>
        <w:tc>
          <w:tcPr>
            <w:tcW w:w="8081" w:type="dxa"/>
            <w:vAlign w:val="top"/>
          </w:tcPr>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1.公开展示的限制</w:t>
            </w:r>
          </w:p>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任何单位和个人未经采购人同意都无权以任何形式向社会公开展示研究成果。</w:t>
            </w:r>
          </w:p>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2.解释权</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本需求书解释权归采购人所有。</w:t>
            </w:r>
          </w:p>
        </w:tc>
      </w:tr>
    </w:tbl>
    <w:p>
      <w:pPr>
        <w:rPr>
          <w:rFonts w:ascii="宋体" w:eastAsia="宋体" w:cs="宋体"/>
          <w:kern w:val="0"/>
          <w:sz w:val="19"/>
          <w:szCs w:val="19"/>
        </w:rPr>
      </w:pPr>
    </w:p>
    <w:p>
      <w:pPr>
        <w:pStyle w:val="8"/>
        <w:numPr>
          <w:ilvl w:val="0"/>
          <w:numId w:val="1"/>
        </w:numPr>
        <w:autoSpaceDE w:val="0"/>
        <w:autoSpaceDN w:val="0"/>
        <w:adjustRightInd w:val="0"/>
        <w:ind w:left="567" w:hanging="142" w:firstLineChars="0"/>
        <w:jc w:val="left"/>
        <w:rPr>
          <w:rFonts w:ascii="黑体" w:hAnsi="黑体" w:eastAsia="黑体" w:cs="宋体"/>
          <w:kern w:val="0"/>
          <w:sz w:val="32"/>
          <w:szCs w:val="32"/>
        </w:rPr>
      </w:pPr>
      <w:r>
        <w:rPr>
          <w:rFonts w:hint="eastAsia" w:ascii="黑体" w:hAnsi="黑体" w:eastAsia="黑体" w:cs="宋体"/>
          <w:kern w:val="0"/>
          <w:sz w:val="32"/>
          <w:szCs w:val="32"/>
        </w:rPr>
        <w:t>主要商务要求</w:t>
      </w:r>
    </w:p>
    <w:p>
      <w:pPr>
        <w:pStyle w:val="8"/>
        <w:numPr>
          <w:ilvl w:val="0"/>
          <w:numId w:val="2"/>
        </w:numPr>
        <w:ind w:firstLineChars="0"/>
        <w:rPr>
          <w:rFonts w:ascii="楷体" w:hAnsi="楷体" w:eastAsia="楷体"/>
          <w:b/>
          <w:sz w:val="32"/>
          <w:szCs w:val="32"/>
        </w:rPr>
      </w:pPr>
      <w:r>
        <w:rPr>
          <w:rFonts w:hint="eastAsia" w:ascii="楷体" w:hAnsi="楷体" w:eastAsia="楷体"/>
          <w:b/>
          <w:sz w:val="32"/>
          <w:szCs w:val="32"/>
        </w:rPr>
        <w:t>标的提供的时间</w:t>
      </w:r>
    </w:p>
    <w:p>
      <w:pPr>
        <w:ind w:firstLine="646" w:firstLineChars="202"/>
        <w:rPr>
          <w:rFonts w:ascii="仿宋_GB2312" w:eastAsia="仿宋_GB2312"/>
          <w:sz w:val="32"/>
          <w:szCs w:val="32"/>
        </w:rPr>
      </w:pPr>
      <w:r>
        <w:rPr>
          <w:rFonts w:hint="eastAsia" w:ascii="仿宋_GB2312" w:eastAsia="仿宋_GB2312"/>
          <w:sz w:val="32"/>
          <w:szCs w:val="32"/>
        </w:rPr>
        <w:t>签订合同后至2024年</w:t>
      </w:r>
      <w:r>
        <w:rPr>
          <w:rFonts w:hint="eastAsia" w:ascii="仿宋_GB2312" w:eastAsia="仿宋_GB2312"/>
          <w:sz w:val="32"/>
          <w:szCs w:val="32"/>
          <w:lang w:val="en-US" w:eastAsia="zh-CN"/>
        </w:rPr>
        <w:t>11</w:t>
      </w:r>
      <w:r>
        <w:rPr>
          <w:rFonts w:hint="eastAsia" w:ascii="仿宋_GB2312" w:eastAsia="仿宋_GB2312"/>
          <w:sz w:val="32"/>
          <w:szCs w:val="32"/>
        </w:rPr>
        <w:t>月3</w:t>
      </w:r>
      <w:r>
        <w:rPr>
          <w:rFonts w:hint="eastAsia" w:ascii="仿宋_GB2312" w:eastAsia="仿宋_GB2312"/>
          <w:sz w:val="32"/>
          <w:szCs w:val="32"/>
          <w:lang w:val="en-US" w:eastAsia="zh-CN"/>
        </w:rPr>
        <w:t>0</w:t>
      </w:r>
      <w:r>
        <w:rPr>
          <w:rFonts w:hint="eastAsia" w:ascii="仿宋_GB2312" w:eastAsia="仿宋_GB2312"/>
          <w:sz w:val="32"/>
          <w:szCs w:val="32"/>
        </w:rPr>
        <w:t>日，如有特殊情况，供应商应继续履行服务至本项工作全部完成。</w:t>
      </w:r>
    </w:p>
    <w:p>
      <w:pPr>
        <w:pStyle w:val="8"/>
        <w:numPr>
          <w:ilvl w:val="0"/>
          <w:numId w:val="2"/>
        </w:numPr>
        <w:ind w:firstLineChars="0"/>
        <w:rPr>
          <w:rFonts w:ascii="楷体" w:hAnsi="楷体" w:eastAsia="楷体"/>
          <w:b/>
          <w:sz w:val="32"/>
          <w:szCs w:val="32"/>
        </w:rPr>
      </w:pPr>
      <w:r>
        <w:rPr>
          <w:rFonts w:hint="eastAsia" w:ascii="楷体" w:hAnsi="楷体" w:eastAsia="楷体"/>
          <w:b/>
          <w:sz w:val="32"/>
          <w:szCs w:val="32"/>
        </w:rPr>
        <w:t>付款方式</w:t>
      </w:r>
    </w:p>
    <w:p>
      <w:pPr>
        <w:ind w:firstLine="646" w:firstLineChars="202"/>
        <w:rPr>
          <w:rFonts w:hint="eastAsia" w:ascii="仿宋_GB2312" w:eastAsia="仿宋_GB2312"/>
          <w:sz w:val="32"/>
          <w:szCs w:val="32"/>
          <w:lang w:eastAsia="zh-CN"/>
        </w:rPr>
      </w:pPr>
      <w:r>
        <w:rPr>
          <w:rFonts w:hint="eastAsia" w:ascii="仿宋_GB2312" w:eastAsia="仿宋_GB2312"/>
          <w:sz w:val="32"/>
          <w:szCs w:val="32"/>
        </w:rPr>
        <w:t>1期：支付比例</w:t>
      </w:r>
      <w:r>
        <w:rPr>
          <w:rFonts w:hint="eastAsia" w:ascii="仿宋_GB2312" w:eastAsia="仿宋_GB2312"/>
          <w:sz w:val="32"/>
          <w:szCs w:val="32"/>
          <w:lang w:val="en-US" w:eastAsia="zh-CN"/>
        </w:rPr>
        <w:t>5</w:t>
      </w:r>
      <w:r>
        <w:rPr>
          <w:rFonts w:hint="eastAsia" w:ascii="仿宋_GB2312" w:eastAsia="仿宋_GB2312"/>
          <w:sz w:val="32"/>
          <w:szCs w:val="32"/>
        </w:rPr>
        <w:t>0%，采购人与供应商签订合同后，供应商向采购人提供相应的发票</w:t>
      </w:r>
      <w:r>
        <w:rPr>
          <w:rFonts w:hint="eastAsia" w:ascii="仿宋" w:hAnsi="仿宋" w:eastAsia="仿宋" w:cs="仿宋"/>
          <w:color w:val="000000"/>
          <w:kern w:val="0"/>
          <w:sz w:val="32"/>
          <w:szCs w:val="32"/>
          <w:shd w:val="clear" w:color="auto" w:fill="FFFFFF"/>
        </w:rPr>
        <w:t>及支付文件</w:t>
      </w:r>
      <w:r>
        <w:rPr>
          <w:rFonts w:hint="eastAsia" w:ascii="仿宋_GB2312" w:eastAsia="仿宋_GB2312"/>
          <w:sz w:val="32"/>
          <w:szCs w:val="32"/>
        </w:rPr>
        <w:t>后10个工作日内，采购人向供应商支付合同金额50%的合同款</w:t>
      </w:r>
      <w:r>
        <w:rPr>
          <w:rFonts w:hint="eastAsia" w:ascii="仿宋_GB2312" w:eastAsia="仿宋_GB2312"/>
          <w:sz w:val="32"/>
          <w:szCs w:val="32"/>
          <w:lang w:val="en-US" w:eastAsia="zh-CN"/>
        </w:rPr>
        <w:t>。</w:t>
      </w:r>
    </w:p>
    <w:p>
      <w:pPr>
        <w:ind w:firstLine="646" w:firstLineChars="202"/>
        <w:rPr>
          <w:rFonts w:ascii="仿宋_GB2312" w:eastAsia="仿宋_GB2312"/>
          <w:sz w:val="32"/>
          <w:szCs w:val="32"/>
        </w:rPr>
      </w:pPr>
      <w:r>
        <w:rPr>
          <w:rFonts w:hint="eastAsia" w:ascii="仿宋_GB2312" w:eastAsia="仿宋_GB2312"/>
          <w:sz w:val="32"/>
          <w:szCs w:val="32"/>
        </w:rPr>
        <w:t>2期：支付比例50%，</w:t>
      </w:r>
      <w:r>
        <w:rPr>
          <w:rFonts w:hint="eastAsia" w:ascii="仿宋" w:hAnsi="仿宋" w:eastAsia="仿宋" w:cs="仿宋"/>
          <w:color w:val="000000"/>
          <w:kern w:val="0"/>
          <w:sz w:val="32"/>
          <w:szCs w:val="32"/>
          <w:shd w:val="clear" w:color="auto" w:fill="FFFFFF"/>
        </w:rPr>
        <w:t>项目验收通过</w:t>
      </w:r>
      <w:r>
        <w:rPr>
          <w:rFonts w:hint="eastAsia" w:ascii="仿宋_GB2312" w:eastAsia="仿宋_GB2312"/>
          <w:sz w:val="32"/>
          <w:szCs w:val="32"/>
        </w:rPr>
        <w:t>后，</w:t>
      </w:r>
      <w:bookmarkStart w:id="0" w:name="_Hlk166576779"/>
      <w:r>
        <w:rPr>
          <w:rFonts w:hint="eastAsia" w:ascii="仿宋_GB2312" w:eastAsia="仿宋_GB2312"/>
          <w:sz w:val="32"/>
          <w:szCs w:val="32"/>
        </w:rPr>
        <w:t>供应商向采购人提供相应的发票及支付文件</w:t>
      </w:r>
      <w:bookmarkEnd w:id="0"/>
      <w:r>
        <w:rPr>
          <w:rFonts w:hint="eastAsia" w:ascii="仿宋_GB2312" w:eastAsia="仿宋_GB2312"/>
          <w:sz w:val="32"/>
          <w:szCs w:val="32"/>
        </w:rPr>
        <w:t>后10个工作日内，采购人向供应商支付合同金额50%的合同款。</w:t>
      </w:r>
    </w:p>
    <w:p>
      <w:pPr>
        <w:autoSpaceDE w:val="0"/>
        <w:autoSpaceDN w:val="0"/>
        <w:adjustRightInd w:val="0"/>
        <w:ind w:firstLine="640" w:firstLineChars="200"/>
        <w:rPr>
          <w:rFonts w:hint="eastAsia" w:ascii="仿宋" w:hAnsi="仿宋" w:eastAsia="仿宋" w:cs="仿宋"/>
          <w:color w:val="000000"/>
          <w:kern w:val="0"/>
          <w:sz w:val="32"/>
          <w:szCs w:val="32"/>
          <w:shd w:val="clear" w:color="auto" w:fill="FFFFFF"/>
        </w:rPr>
      </w:pPr>
      <w:r>
        <w:rPr>
          <w:rFonts w:hint="eastAsia" w:ascii="仿宋_GB2312" w:eastAsia="仿宋_GB2312"/>
          <w:sz w:val="32"/>
          <w:szCs w:val="32"/>
        </w:rPr>
        <w:t>采购人在前款规定的付款时间为向相关采购支付部门提出办理财政支付申请手续的时间（不含政府财政支付部门审核的时间）。</w:t>
      </w:r>
      <w:r>
        <w:rPr>
          <w:rFonts w:hint="eastAsia" w:ascii="仿宋" w:hAnsi="仿宋" w:eastAsia="仿宋" w:cs="仿宋"/>
          <w:color w:val="000000"/>
          <w:kern w:val="0"/>
          <w:sz w:val="32"/>
          <w:szCs w:val="32"/>
          <w:shd w:val="clear" w:color="auto" w:fill="FFFFFF"/>
        </w:rPr>
        <w:t>采购人支付的每一笔款项，供应商须提前提供等数额的发票给采购人。如因供应商未及时提供等额发票，采购人不因此承担迟延付款的责任。</w:t>
      </w:r>
    </w:p>
    <w:p>
      <w:pPr>
        <w:pStyle w:val="8"/>
        <w:numPr>
          <w:ilvl w:val="0"/>
          <w:numId w:val="2"/>
        </w:numPr>
        <w:ind w:firstLineChars="0"/>
        <w:rPr>
          <w:rFonts w:ascii="楷体" w:hAnsi="楷体" w:eastAsia="楷体"/>
          <w:b/>
          <w:sz w:val="32"/>
          <w:szCs w:val="32"/>
        </w:rPr>
      </w:pPr>
      <w:r>
        <w:rPr>
          <w:rFonts w:hint="eastAsia" w:ascii="楷体" w:hAnsi="楷体" w:eastAsia="楷体"/>
          <w:b/>
          <w:sz w:val="32"/>
          <w:szCs w:val="32"/>
        </w:rPr>
        <w:t>验收要求</w:t>
      </w:r>
    </w:p>
    <w:p>
      <w:pPr>
        <w:ind w:firstLine="646" w:firstLineChars="202"/>
        <w:rPr>
          <w:rFonts w:hint="eastAsia" w:ascii="仿宋_GB2312" w:eastAsia="仿宋_GB2312"/>
          <w:sz w:val="32"/>
          <w:szCs w:val="32"/>
        </w:rPr>
      </w:pPr>
      <w:r>
        <w:rPr>
          <w:rFonts w:hint="eastAsia" w:ascii="仿宋_GB2312" w:eastAsia="仿宋_GB2312"/>
          <w:sz w:val="32"/>
          <w:szCs w:val="32"/>
        </w:rPr>
        <w:t>采购人对供应商的研究成果组织不少于3名专家进行专业评审，所需经费从本项目预算经费中列支。供应商按评审意见修改完善并提交研究报告终稿后课题结题。</w:t>
      </w:r>
    </w:p>
    <w:p>
      <w:pPr>
        <w:pStyle w:val="8"/>
        <w:numPr>
          <w:ilvl w:val="0"/>
          <w:numId w:val="2"/>
        </w:numPr>
        <w:ind w:firstLineChars="0"/>
        <w:rPr>
          <w:rFonts w:ascii="楷体" w:hAnsi="楷体" w:eastAsia="楷体"/>
          <w:b/>
          <w:sz w:val="32"/>
          <w:szCs w:val="32"/>
        </w:rPr>
      </w:pPr>
      <w:r>
        <w:rPr>
          <w:rFonts w:hint="eastAsia" w:ascii="楷体" w:hAnsi="楷体" w:eastAsia="楷体"/>
          <w:b/>
          <w:sz w:val="32"/>
          <w:szCs w:val="32"/>
        </w:rPr>
        <w:t>履约保证金</w:t>
      </w:r>
    </w:p>
    <w:p>
      <w:pPr>
        <w:ind w:firstLine="646" w:firstLineChars="202"/>
        <w:rPr>
          <w:rFonts w:ascii="仿宋_GB2312" w:eastAsia="仿宋_GB2312"/>
          <w:sz w:val="32"/>
          <w:szCs w:val="32"/>
        </w:rPr>
      </w:pPr>
      <w:r>
        <w:rPr>
          <w:rFonts w:hint="eastAsia" w:ascii="仿宋_GB2312" w:eastAsia="仿宋_GB2312"/>
          <w:sz w:val="32"/>
          <w:szCs w:val="32"/>
        </w:rPr>
        <w:t>不收取。</w:t>
      </w:r>
    </w:p>
    <w:p>
      <w:pPr>
        <w:pStyle w:val="8"/>
        <w:numPr>
          <w:ilvl w:val="0"/>
          <w:numId w:val="1"/>
        </w:numPr>
        <w:autoSpaceDE w:val="0"/>
        <w:autoSpaceDN w:val="0"/>
        <w:adjustRightInd w:val="0"/>
        <w:ind w:left="567" w:hanging="142" w:firstLineChars="0"/>
        <w:jc w:val="left"/>
        <w:rPr>
          <w:rFonts w:ascii="黑体" w:hAnsi="黑体" w:eastAsia="黑体" w:cs="宋体"/>
          <w:kern w:val="0"/>
          <w:sz w:val="32"/>
          <w:szCs w:val="32"/>
        </w:rPr>
      </w:pPr>
      <w:r>
        <w:rPr>
          <w:rFonts w:hint="eastAsia" w:ascii="黑体" w:hAnsi="黑体" w:eastAsia="黑体" w:cs="宋体"/>
          <w:kern w:val="0"/>
          <w:sz w:val="32"/>
          <w:szCs w:val="32"/>
        </w:rPr>
        <w:t>资格要求</w:t>
      </w:r>
    </w:p>
    <w:p>
      <w:pPr>
        <w:ind w:firstLine="383" w:firstLineChars="202"/>
        <w:rPr>
          <w:rFonts w:ascii="宋体" w:eastAsia="宋体" w:cs="宋体"/>
          <w:kern w:val="0"/>
          <w:sz w:val="19"/>
          <w:szCs w:val="19"/>
        </w:rPr>
      </w:pPr>
      <w:r>
        <w:rPr>
          <w:rFonts w:hint="eastAsia" w:ascii="宋体" w:eastAsia="宋体" w:cs="宋体"/>
          <w:kern w:val="0"/>
          <w:sz w:val="19"/>
          <w:szCs w:val="19"/>
        </w:rPr>
        <w:t>　　</w:t>
      </w:r>
      <w:r>
        <w:rPr>
          <w:rFonts w:hint="eastAsia" w:ascii="仿宋_GB2312" w:eastAsia="仿宋_GB2312"/>
          <w:sz w:val="32"/>
          <w:szCs w:val="32"/>
        </w:rPr>
        <w:t>（一）在中华人民共和国境内注册，具有独立承担民事责任的能力的研究机构、高校、行业协会等企事业单位和社会团体等；</w:t>
      </w:r>
    </w:p>
    <w:p>
      <w:pPr>
        <w:ind w:firstLine="646" w:firstLineChars="202"/>
        <w:rPr>
          <w:rFonts w:ascii="仿宋_GB2312" w:eastAsia="仿宋_GB2312"/>
          <w:sz w:val="32"/>
          <w:szCs w:val="32"/>
        </w:rPr>
      </w:pPr>
      <w:r>
        <w:rPr>
          <w:rFonts w:hint="eastAsia" w:ascii="仿宋_GB2312" w:eastAsia="仿宋_GB2312"/>
          <w:sz w:val="32"/>
          <w:szCs w:val="32"/>
        </w:rPr>
        <w:t>（二）具有良好信誉，遵守国家有关法律、法规和规章，参加本采购活动前</w:t>
      </w:r>
      <w:r>
        <w:rPr>
          <w:rFonts w:ascii="仿宋_GB2312" w:eastAsia="仿宋_GB2312"/>
          <w:sz w:val="32"/>
          <w:szCs w:val="32"/>
        </w:rPr>
        <w:t>3</w:t>
      </w:r>
      <w:r>
        <w:rPr>
          <w:rFonts w:hint="eastAsia" w:ascii="仿宋_GB2312" w:eastAsia="仿宋_GB2312"/>
          <w:sz w:val="32"/>
          <w:szCs w:val="32"/>
        </w:rPr>
        <w:t>年内，在经营活动中没有重大违法记录行为；</w:t>
      </w:r>
    </w:p>
    <w:p>
      <w:pPr>
        <w:ind w:firstLine="646" w:firstLineChars="202"/>
        <w:rPr>
          <w:rFonts w:ascii="仿宋_GB2312" w:eastAsia="仿宋_GB2312"/>
          <w:sz w:val="32"/>
          <w:szCs w:val="32"/>
        </w:rPr>
      </w:pPr>
      <w:r>
        <w:rPr>
          <w:rFonts w:hint="eastAsia" w:ascii="仿宋_GB2312" w:eastAsia="仿宋_GB2312"/>
          <w:sz w:val="32"/>
          <w:szCs w:val="32"/>
        </w:rPr>
        <w:t>（三）熟悉无线电管理相关工作以及具备履行合同所必需的专业技术能力（需提供近3年相关服务业绩）；</w:t>
      </w:r>
      <w:bookmarkStart w:id="1" w:name="_GoBack"/>
      <w:bookmarkEnd w:id="1"/>
    </w:p>
    <w:p>
      <w:pPr>
        <w:ind w:firstLine="646" w:firstLineChars="202"/>
        <w:rPr>
          <w:rFonts w:hint="eastAsia" w:ascii="仿宋_GB2312" w:eastAsia="仿宋_GB2312"/>
          <w:sz w:val="32"/>
          <w:szCs w:val="32"/>
          <w:lang w:val="en-US" w:eastAsia="zh-CN"/>
        </w:rPr>
      </w:pPr>
      <w:r>
        <w:rPr>
          <w:rFonts w:hint="eastAsia" w:ascii="仿宋_GB2312" w:eastAsia="仿宋_GB2312"/>
          <w:sz w:val="32"/>
          <w:szCs w:val="32"/>
        </w:rPr>
        <w:t>（四）研究团队应不少于3名中级及以上职称人员，至少有1名高级及以上职称人员</w:t>
      </w:r>
      <w:r>
        <w:rPr>
          <w:rFonts w:hint="eastAsia" w:ascii="仿宋_GB2312" w:eastAsia="仿宋_GB2312"/>
          <w:sz w:val="32"/>
          <w:szCs w:val="32"/>
          <w:lang w:eastAsia="zh-CN"/>
        </w:rPr>
        <w:t>。</w:t>
      </w:r>
    </w:p>
    <w:sectPr>
      <w:pgSz w:w="11906" w:h="16838"/>
      <w:pgMar w:top="1440" w:right="1700"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DejaVuSans-Bold">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DejaVuSans">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361C9"/>
    <w:multiLevelType w:val="multilevel"/>
    <w:tmpl w:val="3DA361C9"/>
    <w:lvl w:ilvl="0" w:tentative="0">
      <w:start w:val="1"/>
      <w:numFmt w:val="japaneseCounting"/>
      <w:lvlText w:val="（%1）"/>
      <w:lvlJc w:val="left"/>
      <w:pPr>
        <w:ind w:left="1140" w:hanging="720"/>
      </w:pPr>
      <w:rPr>
        <w:rFonts w:hint="default" w:ascii="楷体" w:hAnsi="楷体" w:eastAsia="楷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E9E123E"/>
    <w:multiLevelType w:val="multilevel"/>
    <w:tmpl w:val="5E9E123E"/>
    <w:lvl w:ilvl="0" w:tentative="0">
      <w:start w:val="1"/>
      <w:numFmt w:val="japaneseCounting"/>
      <w:lvlText w:val="%1、"/>
      <w:lvlJc w:val="left"/>
      <w:pPr>
        <w:ind w:left="2810" w:hanging="720"/>
      </w:pPr>
      <w:rPr>
        <w:rFonts w:hint="default" w:ascii="黑体" w:hAnsi="黑体" w:eastAsia="黑体"/>
        <w:sz w:val="32"/>
        <w:szCs w:val="32"/>
      </w:rPr>
    </w:lvl>
    <w:lvl w:ilvl="1" w:tentative="0">
      <w:start w:val="1"/>
      <w:numFmt w:val="lowerLetter"/>
      <w:lvlText w:val="%2)"/>
      <w:lvlJc w:val="left"/>
      <w:pPr>
        <w:ind w:left="2930" w:hanging="420"/>
      </w:pPr>
    </w:lvl>
    <w:lvl w:ilvl="2" w:tentative="0">
      <w:start w:val="1"/>
      <w:numFmt w:val="lowerRoman"/>
      <w:lvlText w:val="%3."/>
      <w:lvlJc w:val="right"/>
      <w:pPr>
        <w:ind w:left="3350" w:hanging="420"/>
      </w:pPr>
    </w:lvl>
    <w:lvl w:ilvl="3" w:tentative="0">
      <w:start w:val="1"/>
      <w:numFmt w:val="decimal"/>
      <w:lvlText w:val="%4."/>
      <w:lvlJc w:val="left"/>
      <w:pPr>
        <w:ind w:left="3770" w:hanging="420"/>
      </w:pPr>
    </w:lvl>
    <w:lvl w:ilvl="4" w:tentative="0">
      <w:start w:val="1"/>
      <w:numFmt w:val="lowerLetter"/>
      <w:lvlText w:val="%5)"/>
      <w:lvlJc w:val="left"/>
      <w:pPr>
        <w:ind w:left="4190" w:hanging="420"/>
      </w:pPr>
    </w:lvl>
    <w:lvl w:ilvl="5" w:tentative="0">
      <w:start w:val="1"/>
      <w:numFmt w:val="lowerRoman"/>
      <w:lvlText w:val="%6."/>
      <w:lvlJc w:val="right"/>
      <w:pPr>
        <w:ind w:left="4610" w:hanging="420"/>
      </w:pPr>
    </w:lvl>
    <w:lvl w:ilvl="6" w:tentative="0">
      <w:start w:val="1"/>
      <w:numFmt w:val="decimal"/>
      <w:lvlText w:val="%7."/>
      <w:lvlJc w:val="left"/>
      <w:pPr>
        <w:ind w:left="5030" w:hanging="420"/>
      </w:pPr>
    </w:lvl>
    <w:lvl w:ilvl="7" w:tentative="0">
      <w:start w:val="1"/>
      <w:numFmt w:val="lowerLetter"/>
      <w:lvlText w:val="%8)"/>
      <w:lvlJc w:val="left"/>
      <w:pPr>
        <w:ind w:left="5450" w:hanging="420"/>
      </w:pPr>
    </w:lvl>
    <w:lvl w:ilvl="8" w:tentative="0">
      <w:start w:val="1"/>
      <w:numFmt w:val="lowerRoman"/>
      <w:lvlText w:val="%9."/>
      <w:lvlJc w:val="right"/>
      <w:pPr>
        <w:ind w:left="58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A9"/>
    <w:rsid w:val="0002086A"/>
    <w:rsid w:val="0003425E"/>
    <w:rsid w:val="00055C5A"/>
    <w:rsid w:val="00082B86"/>
    <w:rsid w:val="000B59AF"/>
    <w:rsid w:val="000C04DA"/>
    <w:rsid w:val="00105AE6"/>
    <w:rsid w:val="0010776B"/>
    <w:rsid w:val="00116098"/>
    <w:rsid w:val="00130503"/>
    <w:rsid w:val="00163A4E"/>
    <w:rsid w:val="001819E3"/>
    <w:rsid w:val="001C5FFF"/>
    <w:rsid w:val="001E6043"/>
    <w:rsid w:val="0021743F"/>
    <w:rsid w:val="00225916"/>
    <w:rsid w:val="0022624D"/>
    <w:rsid w:val="00290187"/>
    <w:rsid w:val="002B694C"/>
    <w:rsid w:val="002C0970"/>
    <w:rsid w:val="002D4B9D"/>
    <w:rsid w:val="002D4E5D"/>
    <w:rsid w:val="00335106"/>
    <w:rsid w:val="003372EC"/>
    <w:rsid w:val="00345E77"/>
    <w:rsid w:val="00361805"/>
    <w:rsid w:val="003A1E20"/>
    <w:rsid w:val="003A2404"/>
    <w:rsid w:val="003B23B2"/>
    <w:rsid w:val="00402577"/>
    <w:rsid w:val="004144EA"/>
    <w:rsid w:val="0042050C"/>
    <w:rsid w:val="00443F44"/>
    <w:rsid w:val="00486F90"/>
    <w:rsid w:val="0049528D"/>
    <w:rsid w:val="004F6B54"/>
    <w:rsid w:val="004F7E55"/>
    <w:rsid w:val="00500C01"/>
    <w:rsid w:val="00564BC9"/>
    <w:rsid w:val="005A4406"/>
    <w:rsid w:val="005C1480"/>
    <w:rsid w:val="005C7A05"/>
    <w:rsid w:val="005D17A9"/>
    <w:rsid w:val="00626AD9"/>
    <w:rsid w:val="006348E5"/>
    <w:rsid w:val="00691D40"/>
    <w:rsid w:val="006A3BA9"/>
    <w:rsid w:val="006B0C16"/>
    <w:rsid w:val="00702A3B"/>
    <w:rsid w:val="007035B1"/>
    <w:rsid w:val="007162EA"/>
    <w:rsid w:val="00724DCF"/>
    <w:rsid w:val="0072684B"/>
    <w:rsid w:val="007305FC"/>
    <w:rsid w:val="00736AFD"/>
    <w:rsid w:val="007413E5"/>
    <w:rsid w:val="00750C0B"/>
    <w:rsid w:val="00772C21"/>
    <w:rsid w:val="00775021"/>
    <w:rsid w:val="00797C74"/>
    <w:rsid w:val="007E1C13"/>
    <w:rsid w:val="00816DF8"/>
    <w:rsid w:val="0083060C"/>
    <w:rsid w:val="008413FB"/>
    <w:rsid w:val="00855AA0"/>
    <w:rsid w:val="00862314"/>
    <w:rsid w:val="008A06F9"/>
    <w:rsid w:val="008C1744"/>
    <w:rsid w:val="008E719E"/>
    <w:rsid w:val="00907E64"/>
    <w:rsid w:val="009158D2"/>
    <w:rsid w:val="009258A2"/>
    <w:rsid w:val="00927B45"/>
    <w:rsid w:val="00936BA1"/>
    <w:rsid w:val="009513AB"/>
    <w:rsid w:val="009514F8"/>
    <w:rsid w:val="0097538C"/>
    <w:rsid w:val="00997139"/>
    <w:rsid w:val="009C0823"/>
    <w:rsid w:val="009D4C82"/>
    <w:rsid w:val="00A208EC"/>
    <w:rsid w:val="00A20EFF"/>
    <w:rsid w:val="00A42B8A"/>
    <w:rsid w:val="00A50E12"/>
    <w:rsid w:val="00A92BE0"/>
    <w:rsid w:val="00AB7926"/>
    <w:rsid w:val="00AF2255"/>
    <w:rsid w:val="00B06790"/>
    <w:rsid w:val="00B20160"/>
    <w:rsid w:val="00B232E2"/>
    <w:rsid w:val="00B2475C"/>
    <w:rsid w:val="00B30868"/>
    <w:rsid w:val="00B324C1"/>
    <w:rsid w:val="00B45745"/>
    <w:rsid w:val="00B72E26"/>
    <w:rsid w:val="00B823E4"/>
    <w:rsid w:val="00B84A65"/>
    <w:rsid w:val="00BA26C4"/>
    <w:rsid w:val="00BA27BE"/>
    <w:rsid w:val="00BC3658"/>
    <w:rsid w:val="00BE5319"/>
    <w:rsid w:val="00C148F8"/>
    <w:rsid w:val="00C16EEE"/>
    <w:rsid w:val="00C27380"/>
    <w:rsid w:val="00C70DCF"/>
    <w:rsid w:val="00C94EF9"/>
    <w:rsid w:val="00C95FC0"/>
    <w:rsid w:val="00D005B6"/>
    <w:rsid w:val="00D33731"/>
    <w:rsid w:val="00D44FB0"/>
    <w:rsid w:val="00D65991"/>
    <w:rsid w:val="00D9364B"/>
    <w:rsid w:val="00D93FC9"/>
    <w:rsid w:val="00DE4693"/>
    <w:rsid w:val="00DE6257"/>
    <w:rsid w:val="00DE6F3A"/>
    <w:rsid w:val="00E12637"/>
    <w:rsid w:val="00E1738A"/>
    <w:rsid w:val="00E759E7"/>
    <w:rsid w:val="00E86046"/>
    <w:rsid w:val="00EA4F85"/>
    <w:rsid w:val="00EB2C01"/>
    <w:rsid w:val="00EE03B9"/>
    <w:rsid w:val="00EF6D8F"/>
    <w:rsid w:val="00F01E73"/>
    <w:rsid w:val="00F3737C"/>
    <w:rsid w:val="00F373BB"/>
    <w:rsid w:val="00F65EA9"/>
    <w:rsid w:val="00F92AC5"/>
    <w:rsid w:val="00FB7591"/>
    <w:rsid w:val="00FD4171"/>
    <w:rsid w:val="00FE5F14"/>
    <w:rsid w:val="05262BF6"/>
    <w:rsid w:val="09E07ED3"/>
    <w:rsid w:val="130477B3"/>
    <w:rsid w:val="211C7F27"/>
    <w:rsid w:val="21EF5B1E"/>
    <w:rsid w:val="247C247D"/>
    <w:rsid w:val="2A7331ED"/>
    <w:rsid w:val="306269C5"/>
    <w:rsid w:val="3073433E"/>
    <w:rsid w:val="373C384F"/>
    <w:rsid w:val="3C554D24"/>
    <w:rsid w:val="427C46A0"/>
    <w:rsid w:val="4DF41C79"/>
    <w:rsid w:val="55026027"/>
    <w:rsid w:val="57B267D9"/>
    <w:rsid w:val="58CE3F6F"/>
    <w:rsid w:val="594E3ED8"/>
    <w:rsid w:val="60CB71F1"/>
    <w:rsid w:val="6A5971DD"/>
    <w:rsid w:val="77903554"/>
    <w:rsid w:val="7E126972"/>
    <w:rsid w:val="7E3850DF"/>
    <w:rsid w:val="7F4E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character" w:customStyle="1" w:styleId="11">
    <w:name w:val="批注框文本 字符"/>
    <w:basedOn w:val="5"/>
    <w:link w:val="2"/>
    <w:semiHidden/>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wxd</Company>
  <Pages>5</Pages>
  <Words>217</Words>
  <Characters>1240</Characters>
  <Lines>10</Lines>
  <Paragraphs>2</Paragraphs>
  <TotalTime>191</TotalTime>
  <ScaleCrop>false</ScaleCrop>
  <LinksUpToDate>false</LinksUpToDate>
  <CharactersWithSpaces>1455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2024-05-14T02:50:00Z</dcterms:created>
  <dc:creator>XJS</dc:creator>
  <cp:lastModifiedBy>tretesdg</cp:lastModifiedBy>
  <cp:lastPrinted>2024-05-21T02:36:00Z</cp:lastPrinted>
  <dcterms:modified xsi:type="dcterms:W3CDTF">2024-06-18T09:48:41Z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