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ordWrap w:val="0"/>
        <w:spacing w:beforeAutospacing="0" w:afterAutospacing="0" w:line="360" w:lineRule="auto"/>
        <w:jc w:val="both"/>
        <w:outlineLvl w:val="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附件一：</w:t>
      </w:r>
    </w:p>
    <w:p>
      <w:pPr>
        <w:pStyle w:val="9"/>
        <w:wordWrap w:val="0"/>
        <w:spacing w:beforeAutospacing="0" w:afterAutospacing="0" w:line="360" w:lineRule="auto"/>
        <w:jc w:val="center"/>
        <w:outlineLvl w:val="0"/>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福建省无线电监测站平潭直属分站2024-2025年度无线电管理技术设施运行维护服务项目</w:t>
      </w:r>
    </w:p>
    <w:p>
      <w:pPr>
        <w:pStyle w:val="9"/>
        <w:wordWrap w:val="0"/>
        <w:spacing w:beforeAutospacing="0" w:afterAutospacing="0" w:line="360" w:lineRule="auto"/>
        <w:jc w:val="center"/>
        <w:outlineLvl w:val="0"/>
        <w:rPr>
          <w:rFonts w:ascii="宋体" w:hAnsi="宋体" w:eastAsia="宋体" w:cs="宋体"/>
          <w:b/>
          <w:bCs/>
          <w:sz w:val="36"/>
          <w:szCs w:val="36"/>
        </w:rPr>
      </w:pPr>
      <w:r>
        <w:rPr>
          <w:rFonts w:hint="eastAsia" w:ascii="宋体" w:hAnsi="宋体" w:eastAsia="宋体" w:cs="宋体"/>
          <w:b/>
          <w:bCs/>
          <w:sz w:val="36"/>
          <w:szCs w:val="36"/>
        </w:rPr>
        <w:t>技术和服务要求</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0"/>
        <w:textAlignment w:val="auto"/>
        <w:outlineLvl w:val="1"/>
        <w:rPr>
          <w:b/>
          <w:bCs/>
        </w:rPr>
      </w:pPr>
      <w:r>
        <w:rPr>
          <w:b/>
          <w:bCs/>
          <w:spacing w:val="0"/>
          <w:sz w:val="24"/>
          <w:szCs w:val="24"/>
        </w:rPr>
        <w:t>一、项目概况</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为加强无线电</w:t>
      </w:r>
      <w:r>
        <w:rPr>
          <w:rFonts w:hint="eastAsia" w:ascii="宋体" w:hAnsi="宋体" w:eastAsia="宋体" w:cs="宋体"/>
          <w:sz w:val="24"/>
          <w:szCs w:val="24"/>
          <w:lang w:eastAsia="zh-CN"/>
        </w:rPr>
        <w:t>技术</w:t>
      </w:r>
      <w:r>
        <w:rPr>
          <w:rFonts w:hint="eastAsia" w:ascii="宋体" w:hAnsi="宋体" w:eastAsia="宋体" w:cs="宋体"/>
          <w:sz w:val="24"/>
          <w:szCs w:val="24"/>
        </w:rPr>
        <w:t>设施管理，落实运维工作机制，提高无线电</w:t>
      </w:r>
      <w:r>
        <w:rPr>
          <w:rFonts w:hint="eastAsia" w:ascii="宋体" w:hAnsi="宋体" w:eastAsia="宋体" w:cs="宋体"/>
          <w:sz w:val="24"/>
          <w:szCs w:val="24"/>
          <w:lang w:eastAsia="zh-CN"/>
        </w:rPr>
        <w:t>技术</w:t>
      </w:r>
      <w:r>
        <w:rPr>
          <w:rFonts w:hint="eastAsia" w:ascii="宋体" w:hAnsi="宋体" w:eastAsia="宋体" w:cs="宋体"/>
          <w:sz w:val="24"/>
          <w:szCs w:val="24"/>
        </w:rPr>
        <w:t>设施运行维护的规范化水平，保障无线电</w:t>
      </w:r>
      <w:r>
        <w:rPr>
          <w:rFonts w:hint="eastAsia" w:ascii="宋体" w:hAnsi="宋体" w:eastAsia="宋体" w:cs="宋体"/>
          <w:sz w:val="24"/>
          <w:szCs w:val="24"/>
          <w:lang w:eastAsia="zh-CN"/>
        </w:rPr>
        <w:t>管理技术</w:t>
      </w:r>
      <w:r>
        <w:rPr>
          <w:rFonts w:hint="eastAsia" w:ascii="宋体" w:hAnsi="宋体" w:eastAsia="宋体" w:cs="宋体"/>
          <w:sz w:val="24"/>
          <w:szCs w:val="24"/>
        </w:rPr>
        <w:t>设施运行的安全性、可靠性和稳定性，为无线电管理工作的顺利开展提供有力保障。根据福建省无线电管理技术设施运行维护工作规定要求，结合工作实际，现拟将</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"https://zfcg.czt.fujian.gov.cn/freecms/site/fujian/ggxx/info/149695.html" \o "福建省无线电监测站平潭直属分站固定站测向系统维修服务项目政府采购合同" \t "https://zfcg.czt.fujian.gov.cn/freecms/site/fujian/qwjsy/_blank"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福建省无线电监测站平潭直属分站</w:t>
      </w:r>
      <w:r>
        <w:rPr>
          <w:rFonts w:hint="eastAsia" w:ascii="宋体" w:hAnsi="宋体" w:eastAsia="宋体" w:cs="宋体"/>
          <w:sz w:val="24"/>
          <w:szCs w:val="24"/>
          <w:lang w:eastAsia="zh-CN"/>
        </w:rPr>
        <w:t>在用的无线电固定监测站、移动监测站、便携式监测设备和无线电控制中心等进行服务外包，</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rPr>
        <w:t>由</w:t>
      </w:r>
      <w:r>
        <w:rPr>
          <w:rFonts w:hint="eastAsia" w:ascii="宋体" w:hAnsi="宋体" w:eastAsia="宋体" w:cs="宋体"/>
          <w:sz w:val="24"/>
          <w:szCs w:val="24"/>
          <w:lang w:eastAsia="zh-CN"/>
        </w:rPr>
        <w:t>成交人</w:t>
      </w:r>
      <w:r>
        <w:rPr>
          <w:rFonts w:hint="eastAsia" w:ascii="宋体" w:hAnsi="宋体" w:eastAsia="宋体" w:cs="宋体"/>
          <w:sz w:val="24"/>
          <w:szCs w:val="24"/>
        </w:rPr>
        <w:t>提供专业、规范、高效的运维服务，落实运维措施，对无线电监测设施进行</w:t>
      </w:r>
      <w:r>
        <w:rPr>
          <w:spacing w:val="2"/>
        </w:rPr>
        <w:t>日常检查、定期巡检、故障处理、</w:t>
      </w:r>
      <w:r>
        <w:rPr>
          <w:rFonts w:hint="eastAsia"/>
          <w:spacing w:val="2"/>
          <w:lang w:eastAsia="zh-CN"/>
        </w:rPr>
        <w:t>设备</w:t>
      </w:r>
      <w:r>
        <w:rPr>
          <w:spacing w:val="2"/>
        </w:rPr>
        <w:t>维修</w:t>
      </w:r>
      <w:r>
        <w:rPr>
          <w:rFonts w:hint="eastAsia"/>
          <w:spacing w:val="2"/>
          <w:lang w:eastAsia="zh-CN"/>
        </w:rPr>
        <w:t>、应急及重大活动保障和技术用房专项维护等</w:t>
      </w:r>
      <w:r>
        <w:rPr>
          <w:rFonts w:hint="eastAsia" w:ascii="宋体" w:hAnsi="宋体" w:eastAsia="宋体" w:cs="宋体"/>
          <w:sz w:val="24"/>
          <w:szCs w:val="24"/>
        </w:rPr>
        <w:t>，实现对在用无线电</w:t>
      </w:r>
      <w:r>
        <w:rPr>
          <w:rFonts w:hint="eastAsia" w:ascii="宋体" w:hAnsi="宋体" w:eastAsia="宋体" w:cs="宋体"/>
          <w:sz w:val="24"/>
          <w:szCs w:val="24"/>
          <w:lang w:eastAsia="zh-CN"/>
        </w:rPr>
        <w:t>技术</w:t>
      </w:r>
      <w:r>
        <w:rPr>
          <w:rFonts w:hint="eastAsia" w:ascii="宋体" w:hAnsi="宋体" w:eastAsia="宋体" w:cs="宋体"/>
          <w:sz w:val="24"/>
          <w:szCs w:val="24"/>
        </w:rPr>
        <w:t>设施的有效管理和高质量维护。</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0"/>
        <w:textAlignment w:val="auto"/>
        <w:outlineLvl w:val="1"/>
        <w:rPr>
          <w:rFonts w:cs="Times New Roman"/>
          <w:b/>
          <w:bCs/>
          <w:spacing w:val="0"/>
          <w:sz w:val="24"/>
          <w:szCs w:val="24"/>
        </w:rPr>
      </w:pPr>
      <w:r>
        <w:rPr>
          <w:rFonts w:hint="eastAsia" w:cs="Times New Roman"/>
          <w:b/>
          <w:bCs/>
          <w:spacing w:val="0"/>
          <w:sz w:val="24"/>
          <w:szCs w:val="24"/>
        </w:rPr>
        <w:t>二、技术和服务要求</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2" w:firstLineChars="200"/>
        <w:textAlignment w:val="auto"/>
        <w:outlineLvl w:val="2"/>
      </w:pPr>
      <w:r>
        <w:rPr>
          <w:rStyle w:val="13"/>
          <w:rFonts w:hint="eastAsia" w:ascii="宋体" w:hAnsi="宋体" w:eastAsia="宋体" w:cs="宋体"/>
          <w:lang w:eastAsia="zh-CN"/>
        </w:rPr>
        <w:t>（一）</w:t>
      </w:r>
      <w:r>
        <w:rPr>
          <w:rStyle w:val="13"/>
          <w:rFonts w:hint="eastAsia" w:ascii="宋体" w:hAnsi="宋体" w:eastAsia="宋体" w:cs="宋体"/>
        </w:rPr>
        <w:t>总体要求</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本项目运维服务期（1年）内</w:t>
      </w:r>
      <w:r>
        <w:rPr>
          <w:rFonts w:hint="eastAsia" w:ascii="宋体" w:hAnsi="宋体" w:eastAsia="宋体" w:cs="宋体"/>
          <w:sz w:val="24"/>
          <w:szCs w:val="24"/>
          <w:lang w:eastAsia="zh-CN"/>
        </w:rPr>
        <w:t>成交人</w:t>
      </w:r>
      <w:r>
        <w:rPr>
          <w:rFonts w:hint="eastAsia" w:ascii="宋体" w:hAnsi="宋体" w:eastAsia="宋体" w:cs="宋体"/>
          <w:sz w:val="24"/>
          <w:szCs w:val="24"/>
        </w:rPr>
        <w:t>应负责无线电</w:t>
      </w:r>
      <w:r>
        <w:rPr>
          <w:rFonts w:hint="eastAsia" w:ascii="宋体" w:hAnsi="宋体" w:eastAsia="宋体" w:cs="宋体"/>
          <w:sz w:val="24"/>
          <w:szCs w:val="24"/>
          <w:lang w:eastAsia="zh-CN"/>
        </w:rPr>
        <w:t>技术</w:t>
      </w:r>
      <w:r>
        <w:rPr>
          <w:rFonts w:hint="eastAsia" w:ascii="宋体" w:hAnsi="宋体" w:eastAsia="宋体" w:cs="宋体"/>
          <w:sz w:val="24"/>
          <w:szCs w:val="24"/>
        </w:rPr>
        <w:t>设施的日常</w:t>
      </w:r>
      <w:r>
        <w:rPr>
          <w:rFonts w:hint="eastAsia" w:ascii="宋体" w:hAnsi="宋体" w:eastAsia="宋体" w:cs="宋体"/>
          <w:sz w:val="24"/>
          <w:szCs w:val="24"/>
          <w:lang w:eastAsia="zh-CN"/>
        </w:rPr>
        <w:t>检查</w:t>
      </w:r>
      <w:r>
        <w:rPr>
          <w:rFonts w:hint="eastAsia" w:ascii="宋体" w:hAnsi="宋体" w:eastAsia="宋体" w:cs="宋体"/>
          <w:sz w:val="24"/>
          <w:szCs w:val="24"/>
        </w:rPr>
        <w:t>、定期巡检</w:t>
      </w:r>
      <w:r>
        <w:rPr>
          <w:rFonts w:hint="eastAsia" w:ascii="宋体" w:hAnsi="宋体" w:eastAsia="宋体" w:cs="宋体"/>
          <w:sz w:val="24"/>
          <w:szCs w:val="24"/>
          <w:lang w:eastAsia="zh-CN"/>
        </w:rPr>
        <w:t>、</w:t>
      </w:r>
      <w:r>
        <w:rPr>
          <w:rFonts w:hint="eastAsia" w:ascii="宋体" w:hAnsi="宋体" w:eastAsia="宋体" w:cs="宋体"/>
          <w:sz w:val="24"/>
          <w:szCs w:val="24"/>
        </w:rPr>
        <w:t>维修</w:t>
      </w:r>
      <w:r>
        <w:rPr>
          <w:rFonts w:hint="eastAsia" w:ascii="宋体" w:hAnsi="宋体" w:eastAsia="宋体" w:cs="宋体"/>
          <w:sz w:val="24"/>
          <w:szCs w:val="24"/>
          <w:lang w:eastAsia="zh-CN"/>
        </w:rPr>
        <w:t>和应急处置等</w:t>
      </w:r>
      <w:r>
        <w:rPr>
          <w:rFonts w:hint="eastAsia" w:ascii="宋体" w:hAnsi="宋体" w:eastAsia="宋体" w:cs="宋体"/>
          <w:sz w:val="24"/>
          <w:szCs w:val="24"/>
        </w:rPr>
        <w:t>工作，保障现有设备、设施的正常运转，并达到如下要求：</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1.对无线电</w:t>
      </w:r>
      <w:r>
        <w:rPr>
          <w:rFonts w:hint="eastAsia" w:ascii="宋体" w:hAnsi="宋体" w:eastAsia="宋体" w:cs="宋体"/>
          <w:sz w:val="24"/>
          <w:szCs w:val="24"/>
          <w:lang w:eastAsia="zh-CN"/>
        </w:rPr>
        <w:t>技术设施</w:t>
      </w:r>
      <w:r>
        <w:rPr>
          <w:rFonts w:hint="eastAsia" w:ascii="宋体" w:hAnsi="宋体" w:eastAsia="宋体" w:cs="宋体"/>
          <w:sz w:val="24"/>
          <w:szCs w:val="24"/>
        </w:rPr>
        <w:t>进行测试和检查，确保功能运行正常；</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2.为日常无线电监测和重大无线电安全保障提供有力的技术支持；</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3.对无线电固定监测站的铁塔（抱杆）做好日常维护保养；</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4.提供可靠的设备维修（送修）保障服务；</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5.建立包含设施运行状况、技术指标、巡检记录、维护维修情况等运维档案；</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6.做好有关工作记录和报</w:t>
      </w:r>
      <w:r>
        <w:rPr>
          <w:rFonts w:hint="eastAsia" w:ascii="宋体" w:hAnsi="宋体" w:eastAsia="宋体" w:cs="宋体"/>
          <w:sz w:val="24"/>
          <w:szCs w:val="24"/>
          <w:lang w:eastAsia="zh-CN"/>
        </w:rPr>
        <w:t>告</w:t>
      </w:r>
      <w:r>
        <w:rPr>
          <w:rFonts w:hint="eastAsia" w:ascii="宋体" w:hAnsi="宋体" w:eastAsia="宋体" w:cs="宋体"/>
          <w:sz w:val="24"/>
          <w:szCs w:val="24"/>
        </w:rPr>
        <w:t>编制、文案管理，妥善处理应急突发事件，确保无线电</w:t>
      </w:r>
      <w:r>
        <w:rPr>
          <w:rFonts w:hint="eastAsia" w:ascii="宋体" w:hAnsi="宋体" w:eastAsia="宋体" w:cs="宋体"/>
          <w:sz w:val="24"/>
          <w:szCs w:val="24"/>
          <w:lang w:eastAsia="zh-CN"/>
        </w:rPr>
        <w:t>技术设施</w:t>
      </w:r>
      <w:r>
        <w:rPr>
          <w:rFonts w:hint="eastAsia" w:ascii="宋体" w:hAnsi="宋体" w:eastAsia="宋体" w:cs="宋体"/>
          <w:sz w:val="24"/>
          <w:szCs w:val="24"/>
        </w:rPr>
        <w:t>工作正常，运行稳定。</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2" w:firstLineChars="200"/>
        <w:textAlignment w:val="auto"/>
        <w:outlineLvl w:val="2"/>
      </w:pPr>
      <w:r>
        <w:rPr>
          <w:rStyle w:val="13"/>
          <w:rFonts w:hint="eastAsia" w:ascii="宋体" w:hAnsi="宋体" w:eastAsia="宋体" w:cs="宋体"/>
          <w:lang w:eastAsia="zh-CN"/>
        </w:rPr>
        <w:t>（二）</w:t>
      </w:r>
      <w:r>
        <w:rPr>
          <w:rStyle w:val="13"/>
          <w:rFonts w:hint="eastAsia" w:ascii="宋体" w:hAnsi="宋体" w:eastAsia="宋体" w:cs="宋体"/>
        </w:rPr>
        <w:t>运维规范</w:t>
      </w:r>
    </w:p>
    <w:p>
      <w:pPr>
        <w:pStyle w:val="9"/>
        <w:wordWrap w:val="0"/>
        <w:spacing w:beforeAutospacing="0" w:afterAutospacing="0" w:line="360" w:lineRule="auto"/>
        <w:ind w:firstLine="480"/>
        <w:rPr>
          <w:rFonts w:ascii="宋体" w:hAnsi="宋体" w:cs="宋体"/>
          <w:highlight w:val="none"/>
        </w:rPr>
      </w:pPr>
      <w:r>
        <w:rPr>
          <w:rFonts w:hint="eastAsia" w:ascii="宋体" w:hAnsi="宋体" w:cs="宋体"/>
          <w:highlight w:val="none"/>
        </w:rPr>
        <w:t>1.《福建省无线电管理技术设施运行维护工作指南（试行）》</w:t>
      </w:r>
    </w:p>
    <w:p>
      <w:pPr>
        <w:pStyle w:val="9"/>
        <w:wordWrap w:val="0"/>
        <w:spacing w:beforeAutospacing="0" w:afterAutospacing="0" w:line="360" w:lineRule="auto"/>
        <w:ind w:firstLine="480"/>
        <w:rPr>
          <w:rFonts w:ascii="宋体" w:hAnsi="宋体" w:cs="宋体"/>
          <w:highlight w:val="none"/>
        </w:rPr>
      </w:pPr>
      <w:r>
        <w:rPr>
          <w:rFonts w:hint="eastAsia" w:ascii="宋体" w:hAnsi="宋体" w:cs="宋体"/>
          <w:highlight w:val="none"/>
        </w:rPr>
        <w:t>2.GB/T 34082-2017《无线电监测网传输协议》</w:t>
      </w:r>
    </w:p>
    <w:p>
      <w:pPr>
        <w:pStyle w:val="9"/>
        <w:wordWrap w:val="0"/>
        <w:spacing w:beforeAutospacing="0" w:afterAutospacing="0" w:line="360" w:lineRule="auto"/>
        <w:ind w:firstLine="480"/>
        <w:rPr>
          <w:rFonts w:ascii="宋体" w:hAnsi="宋体" w:cs="宋体"/>
          <w:highlight w:val="none"/>
        </w:rPr>
      </w:pPr>
      <w:r>
        <w:rPr>
          <w:rFonts w:hint="eastAsia" w:ascii="宋体" w:hAnsi="宋体" w:cs="宋体"/>
          <w:highlight w:val="none"/>
        </w:rPr>
        <w:t>3.YD/T2675-2013《VHF/UHF无线电监测测向系统开场测试参数和测试方法》</w:t>
      </w:r>
    </w:p>
    <w:p>
      <w:pPr>
        <w:pStyle w:val="9"/>
        <w:wordWrap w:val="0"/>
        <w:spacing w:beforeAutospacing="0" w:afterAutospacing="0" w:line="360" w:lineRule="auto"/>
        <w:ind w:firstLine="480"/>
        <w:rPr>
          <w:rFonts w:ascii="宋体" w:hAnsi="宋体" w:cs="宋体"/>
          <w:highlight w:val="none"/>
        </w:rPr>
      </w:pPr>
      <w:r>
        <w:rPr>
          <w:rFonts w:hint="eastAsia" w:ascii="宋体" w:hAnsi="宋体" w:cs="宋体"/>
          <w:highlight w:val="none"/>
        </w:rPr>
        <w:t>4.GB/T32401-2015《VHF/UHF频段无线电监测接收机技术要求及测试方法》</w:t>
      </w:r>
    </w:p>
    <w:p>
      <w:pPr>
        <w:pStyle w:val="9"/>
        <w:wordWrap w:val="0"/>
        <w:spacing w:beforeAutospacing="0" w:afterAutospacing="0" w:line="360" w:lineRule="auto"/>
        <w:ind w:firstLine="480"/>
        <w:rPr>
          <w:rFonts w:ascii="宋体" w:hAnsi="宋体" w:cs="宋体"/>
          <w:highlight w:val="none"/>
        </w:rPr>
      </w:pPr>
      <w:r>
        <w:rPr>
          <w:rFonts w:hint="eastAsia" w:ascii="宋体" w:hAnsi="宋体" w:cs="宋体"/>
          <w:color w:val="000000"/>
          <w:highlight w:val="none"/>
        </w:rPr>
        <w:t>5.（GB/T 34089-2017）《VHF/UHF无线电监测测向系统开场测试参数和测试方法》</w:t>
      </w:r>
    </w:p>
    <w:p>
      <w:pPr>
        <w:pStyle w:val="9"/>
        <w:wordWrap w:val="0"/>
        <w:spacing w:beforeAutospacing="0" w:afterAutospacing="0" w:line="360" w:lineRule="auto"/>
        <w:ind w:firstLine="480"/>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.《VHF/UHF无线电监测设施建设规范和技术要求(试行)》</w:t>
      </w:r>
    </w:p>
    <w:p>
      <w:pPr>
        <w:pStyle w:val="9"/>
        <w:wordWrap w:val="0"/>
        <w:spacing w:beforeAutospacing="0" w:afterAutospacing="0" w:line="360" w:lineRule="auto"/>
        <w:ind w:firstLine="480"/>
        <w:rPr>
          <w:rFonts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rPr>
        <w:t>.YD/T 3811《3GHz</w:t>
      </w:r>
      <w:r>
        <w:rPr>
          <w:rFonts w:hint="eastAsia" w:ascii="宋体" w:hAnsi="宋体" w:cs="宋体"/>
          <w:highlight w:val="none"/>
          <w:lang w:val="en-US" w:eastAsia="zh-CN"/>
        </w:rPr>
        <w:t>-</w:t>
      </w:r>
      <w:r>
        <w:rPr>
          <w:rFonts w:hint="eastAsia" w:ascii="宋体" w:hAnsi="宋体" w:cs="宋体"/>
          <w:highlight w:val="none"/>
        </w:rPr>
        <w:t>12.75GHz频段无线电监测测向系统测试方法及技术要求》</w:t>
      </w:r>
    </w:p>
    <w:p>
      <w:pPr>
        <w:pStyle w:val="9"/>
        <w:wordWrap w:val="0"/>
        <w:spacing w:beforeAutospacing="0" w:afterAutospacing="0" w:line="360" w:lineRule="auto"/>
        <w:ind w:firstLine="480"/>
        <w:rPr>
          <w:rFonts w:ascii="宋体" w:hAnsi="宋体" w:cs="宋体"/>
          <w:highlight w:val="none"/>
        </w:rPr>
      </w:pPr>
      <w:r>
        <w:rPr>
          <w:rFonts w:hint="eastAsia" w:ascii="宋体" w:hAnsi="宋体" w:cs="宋体"/>
          <w:highlight w:val="none"/>
          <w:lang w:val="en-US" w:eastAsia="zh-CN"/>
        </w:rPr>
        <w:t>8</w:t>
      </w:r>
      <w:r>
        <w:rPr>
          <w:rFonts w:hint="eastAsia" w:ascii="宋体" w:hAnsi="宋体" w:cs="宋体"/>
          <w:highlight w:val="none"/>
        </w:rPr>
        <w:t>.有关行业标准和规范(最新)</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2" w:firstLineChars="200"/>
        <w:textAlignment w:val="auto"/>
        <w:outlineLvl w:val="2"/>
      </w:pPr>
      <w:r>
        <w:rPr>
          <w:rStyle w:val="13"/>
          <w:rFonts w:hint="eastAsia" w:ascii="宋体" w:hAnsi="宋体" w:eastAsia="宋体" w:cs="宋体"/>
          <w:lang w:eastAsia="zh-CN"/>
        </w:rPr>
        <w:t>（三）</w:t>
      </w:r>
      <w:r>
        <w:rPr>
          <w:rStyle w:val="13"/>
          <w:rFonts w:hint="eastAsia" w:ascii="宋体" w:hAnsi="宋体" w:eastAsia="宋体" w:cs="宋体"/>
        </w:rPr>
        <w:t>运维服务范围</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福建省无线电监测站平潭直属分站</w:t>
      </w:r>
      <w:r>
        <w:rPr>
          <w:rFonts w:hint="eastAsia" w:ascii="宋体" w:hAnsi="宋体" w:eastAsia="宋体" w:cs="宋体"/>
          <w:sz w:val="24"/>
          <w:szCs w:val="24"/>
          <w:lang w:eastAsia="zh-CN"/>
        </w:rPr>
        <w:t>在用的无线电技术设施所包含的固定监测站、移动监测站、便携式监测设备、无线电控制中心以及其他全部辅助设施及系统（包括但不限于</w:t>
      </w:r>
      <w:r>
        <w:rPr>
          <w:rFonts w:hint="eastAsia" w:ascii="宋体" w:hAnsi="宋体" w:eastAsia="宋体" w:cs="宋体"/>
          <w:sz w:val="24"/>
          <w:szCs w:val="24"/>
        </w:rPr>
        <w:t>通信、供电、消防、环境、建筑构筑物、铁塔</w:t>
      </w:r>
      <w:r>
        <w:rPr>
          <w:rFonts w:hint="eastAsia" w:ascii="宋体" w:hAnsi="宋体" w:eastAsia="宋体" w:cs="宋体"/>
          <w:sz w:val="24"/>
          <w:szCs w:val="24"/>
          <w:lang w:eastAsia="zh-CN"/>
        </w:rPr>
        <w:t>或抱杆</w:t>
      </w:r>
      <w:r>
        <w:rPr>
          <w:rFonts w:hint="eastAsia" w:ascii="宋体" w:hAnsi="宋体" w:eastAsia="宋体" w:cs="宋体"/>
          <w:sz w:val="24"/>
          <w:szCs w:val="24"/>
        </w:rPr>
        <w:t>等</w:t>
      </w:r>
      <w:r>
        <w:rPr>
          <w:rFonts w:hint="eastAsia" w:ascii="宋体" w:hAnsi="宋体" w:eastAsia="宋体" w:cs="宋体"/>
          <w:sz w:val="24"/>
          <w:szCs w:val="24"/>
          <w:lang w:eastAsia="zh-CN"/>
        </w:rPr>
        <w:t>）。</w:t>
      </w:r>
      <w:r>
        <w:rPr>
          <w:rFonts w:hint="eastAsia" w:ascii="宋体" w:hAnsi="宋体" w:eastAsia="宋体" w:cs="宋体"/>
          <w:sz w:val="24"/>
          <w:szCs w:val="24"/>
        </w:rPr>
        <w:t>以首次现场勘察巡检点验确认的设施设备及系统为准，主要无线电</w:t>
      </w:r>
      <w:r>
        <w:rPr>
          <w:rFonts w:hint="eastAsia" w:ascii="宋体" w:hAnsi="宋体" w:eastAsia="宋体" w:cs="宋体"/>
          <w:sz w:val="24"/>
          <w:szCs w:val="24"/>
          <w:lang w:eastAsia="zh-CN"/>
        </w:rPr>
        <w:t>技术</w:t>
      </w:r>
      <w:r>
        <w:rPr>
          <w:rFonts w:hint="eastAsia" w:ascii="宋体" w:hAnsi="宋体" w:eastAsia="宋体" w:cs="宋体"/>
          <w:sz w:val="24"/>
          <w:szCs w:val="24"/>
        </w:rPr>
        <w:t>设施清单如下：</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2" w:firstLineChars="200"/>
        <w:textAlignment w:val="auto"/>
        <w:outlineLvl w:val="3"/>
      </w:pPr>
      <w:r>
        <w:rPr>
          <w:rStyle w:val="13"/>
          <w:rFonts w:hint="eastAsia" w:ascii="宋体" w:hAnsi="宋体" w:eastAsia="宋体" w:cs="宋体"/>
        </w:rPr>
        <w:t>1.无线电固定监测站</w:t>
      </w:r>
    </w:p>
    <w:tbl>
      <w:tblPr>
        <w:tblStyle w:val="10"/>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39"/>
        <w:gridCol w:w="2537"/>
        <w:gridCol w:w="2304"/>
        <w:gridCol w:w="1359"/>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502"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Style w:val="13"/>
                <w:rFonts w:hint="eastAsia" w:ascii="宋体" w:hAnsi="宋体" w:eastAsia="宋体" w:cs="宋体"/>
              </w:rPr>
              <w:t>序号</w:t>
            </w:r>
          </w:p>
        </w:tc>
        <w:tc>
          <w:tcPr>
            <w:tcW w:w="1516"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Style w:val="13"/>
                <w:rFonts w:hint="eastAsia" w:ascii="宋体" w:hAnsi="宋体" w:eastAsia="宋体" w:cs="宋体"/>
              </w:rPr>
              <w:t>站点名称</w:t>
            </w:r>
          </w:p>
        </w:tc>
        <w:tc>
          <w:tcPr>
            <w:tcW w:w="137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Style w:val="13"/>
                <w:rFonts w:hint="eastAsia" w:ascii="宋体" w:hAnsi="宋体" w:eastAsia="宋体" w:cs="宋体"/>
              </w:rPr>
              <w:t>监测主设备</w:t>
            </w:r>
          </w:p>
        </w:tc>
        <w:tc>
          <w:tcPr>
            <w:tcW w:w="812"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Style w:val="13"/>
                <w:rFonts w:hint="eastAsia" w:ascii="宋体" w:hAnsi="宋体" w:eastAsia="宋体" w:cs="宋体"/>
              </w:rPr>
              <w:t>厂家</w:t>
            </w:r>
          </w:p>
        </w:tc>
        <w:tc>
          <w:tcPr>
            <w:tcW w:w="79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Style w:val="13"/>
                <w:rFonts w:hint="eastAsia" w:ascii="宋体" w:hAnsi="宋体" w:eastAsia="宋体" w:cs="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02"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highlight w:val="none"/>
              </w:rPr>
            </w:pPr>
            <w:r>
              <w:rPr>
                <w:rFonts w:hint="eastAsia" w:ascii="宋体" w:hAnsi="宋体" w:eastAsia="宋体" w:cs="宋体"/>
                <w:sz w:val="24"/>
                <w:szCs w:val="24"/>
                <w:highlight w:val="none"/>
              </w:rPr>
              <w:t>1</w:t>
            </w:r>
          </w:p>
        </w:tc>
        <w:tc>
          <w:tcPr>
            <w:tcW w:w="1516"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highlight w:val="none"/>
              </w:rPr>
            </w:pPr>
            <w:r>
              <w:rPr>
                <w:rFonts w:hint="eastAsia" w:ascii="宋体" w:hAnsi="宋体" w:eastAsia="宋体" w:cs="宋体"/>
                <w:sz w:val="24"/>
                <w:szCs w:val="24"/>
                <w:highlight w:val="none"/>
                <w:lang w:eastAsia="zh-CN"/>
              </w:rPr>
              <w:t>平潭固定</w:t>
            </w:r>
            <w:r>
              <w:rPr>
                <w:rFonts w:hint="eastAsia" w:ascii="宋体" w:hAnsi="宋体" w:eastAsia="宋体" w:cs="宋体"/>
                <w:sz w:val="24"/>
                <w:szCs w:val="24"/>
                <w:highlight w:val="none"/>
              </w:rPr>
              <w:t>站</w:t>
            </w:r>
          </w:p>
        </w:tc>
        <w:tc>
          <w:tcPr>
            <w:tcW w:w="137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宋体"/>
                <w:highlight w:val="none"/>
                <w:lang w:val="en-US" w:eastAsia="zh-CN"/>
              </w:rPr>
            </w:pPr>
            <w:r>
              <w:rPr>
                <w:rFonts w:hint="eastAsia" w:ascii="宋体" w:hAnsi="宋体" w:eastAsia="宋体" w:cs="宋体"/>
                <w:sz w:val="24"/>
                <w:szCs w:val="24"/>
                <w:highlight w:val="none"/>
              </w:rPr>
              <w:t>监测接收机ESM</w:t>
            </w:r>
            <w:r>
              <w:rPr>
                <w:rFonts w:hint="eastAsia" w:ascii="宋体" w:hAnsi="宋体" w:eastAsia="宋体" w:cs="宋体"/>
                <w:sz w:val="24"/>
                <w:szCs w:val="24"/>
                <w:highlight w:val="none"/>
                <w:lang w:val="en-US" w:eastAsia="zh-CN"/>
              </w:rPr>
              <w:t>D</w:t>
            </w:r>
          </w:p>
        </w:tc>
        <w:tc>
          <w:tcPr>
            <w:tcW w:w="812"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highlight w:val="none"/>
              </w:rPr>
            </w:pPr>
            <w:r>
              <w:rPr>
                <w:rFonts w:hint="eastAsia" w:ascii="宋体" w:hAnsi="宋体" w:eastAsia="宋体" w:cs="宋体"/>
                <w:sz w:val="24"/>
                <w:szCs w:val="24"/>
                <w:highlight w:val="none"/>
              </w:rPr>
              <w:t>德国R&amp;S</w:t>
            </w:r>
          </w:p>
        </w:tc>
        <w:tc>
          <w:tcPr>
            <w:tcW w:w="79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highlight w:val="none"/>
              </w:rPr>
            </w:pPr>
            <w:r>
              <w:rPr>
                <w:rFonts w:hint="eastAsia" w:ascii="宋体" w:hAnsi="宋体" w:eastAsia="宋体" w:cs="宋体"/>
                <w:sz w:val="24"/>
                <w:szCs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0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highlight w:val="none"/>
              </w:rPr>
            </w:pPr>
          </w:p>
        </w:tc>
        <w:tc>
          <w:tcPr>
            <w:tcW w:w="1516"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highlight w:val="none"/>
              </w:rPr>
            </w:pPr>
          </w:p>
        </w:tc>
        <w:tc>
          <w:tcPr>
            <w:tcW w:w="137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default" w:eastAsia="宋体"/>
                <w:highlight w:val="none"/>
                <w:lang w:val="en-US" w:eastAsia="zh-CN"/>
              </w:rPr>
            </w:pPr>
            <w:r>
              <w:rPr>
                <w:rFonts w:hint="eastAsia" w:ascii="宋体" w:hAnsi="宋体" w:eastAsia="宋体" w:cs="宋体"/>
                <w:sz w:val="24"/>
                <w:szCs w:val="24"/>
                <w:highlight w:val="none"/>
              </w:rPr>
              <w:t>测向接收机DDF</w:t>
            </w:r>
            <w:r>
              <w:rPr>
                <w:rFonts w:hint="eastAsia" w:ascii="宋体" w:hAnsi="宋体" w:eastAsia="宋体" w:cs="宋体"/>
                <w:sz w:val="24"/>
                <w:szCs w:val="24"/>
                <w:highlight w:val="none"/>
                <w:lang w:val="en-US" w:eastAsia="zh-CN"/>
              </w:rPr>
              <w:t>05E</w:t>
            </w:r>
          </w:p>
        </w:tc>
        <w:tc>
          <w:tcPr>
            <w:tcW w:w="812"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highlight w:val="none"/>
              </w:rPr>
            </w:pPr>
            <w:r>
              <w:rPr>
                <w:rFonts w:hint="eastAsia" w:ascii="宋体" w:hAnsi="宋体" w:eastAsia="宋体" w:cs="宋体"/>
                <w:sz w:val="24"/>
                <w:szCs w:val="24"/>
                <w:highlight w:val="none"/>
              </w:rPr>
              <w:t>德国R&amp;S</w:t>
            </w:r>
          </w:p>
        </w:tc>
        <w:tc>
          <w:tcPr>
            <w:tcW w:w="79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highlight w:val="none"/>
              </w:rPr>
            </w:pPr>
            <w:r>
              <w:rPr>
                <w:rFonts w:hint="eastAsia" w:ascii="宋体" w:hAnsi="宋体" w:eastAsia="宋体" w:cs="宋体"/>
                <w:sz w:val="24"/>
                <w:szCs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0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highlight w:val="none"/>
              </w:rPr>
            </w:pPr>
          </w:p>
        </w:tc>
        <w:tc>
          <w:tcPr>
            <w:tcW w:w="1516"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highlight w:val="none"/>
              </w:rPr>
            </w:pPr>
          </w:p>
        </w:tc>
        <w:tc>
          <w:tcPr>
            <w:tcW w:w="137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配套技术用房</w:t>
            </w:r>
          </w:p>
        </w:tc>
        <w:tc>
          <w:tcPr>
            <w:tcW w:w="812"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p>
        </w:tc>
        <w:tc>
          <w:tcPr>
            <w:tcW w:w="79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1栋</w:t>
            </w:r>
          </w:p>
        </w:tc>
      </w:tr>
    </w:tbl>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2" w:firstLineChars="200"/>
        <w:textAlignment w:val="auto"/>
        <w:outlineLvl w:val="3"/>
        <w:rPr>
          <w:highlight w:val="none"/>
        </w:rPr>
      </w:pPr>
      <w:r>
        <w:rPr>
          <w:rStyle w:val="13"/>
          <w:rFonts w:hint="eastAsia" w:ascii="宋体" w:hAnsi="宋体" w:eastAsia="宋体" w:cs="宋体"/>
          <w:highlight w:val="none"/>
        </w:rPr>
        <w:t>2.移动监测站</w:t>
      </w:r>
    </w:p>
    <w:tbl>
      <w:tblPr>
        <w:tblStyle w:val="10"/>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15"/>
        <w:gridCol w:w="2547"/>
        <w:gridCol w:w="2333"/>
        <w:gridCol w:w="1364"/>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488"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highlight w:val="none"/>
              </w:rPr>
            </w:pPr>
            <w:r>
              <w:rPr>
                <w:rStyle w:val="13"/>
                <w:rFonts w:hint="eastAsia" w:ascii="宋体" w:hAnsi="宋体" w:eastAsia="宋体" w:cs="宋体"/>
                <w:highlight w:val="none"/>
              </w:rPr>
              <w:t>序号</w:t>
            </w:r>
          </w:p>
        </w:tc>
        <w:tc>
          <w:tcPr>
            <w:tcW w:w="1524" w:type="pct"/>
            <w:tcBorders>
              <w:tl2br w:val="nil"/>
              <w:tr2bl w:val="nil"/>
            </w:tcBorders>
            <w:shd w:val="clear" w:color="auto" w:fill="FFFFFF"/>
            <w:vAlign w:val="center"/>
          </w:tcPr>
          <w:p>
            <w:pPr>
              <w:pStyle w:val="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highlight w:val="none"/>
              </w:rPr>
            </w:pPr>
            <w:r>
              <w:rPr>
                <w:rStyle w:val="13"/>
                <w:rFonts w:hint="eastAsia" w:ascii="宋体" w:hAnsi="宋体" w:eastAsia="宋体" w:cs="宋体"/>
                <w:highlight w:val="none"/>
              </w:rPr>
              <w:t>站点名称</w:t>
            </w:r>
          </w:p>
        </w:tc>
        <w:tc>
          <w:tcPr>
            <w:tcW w:w="1396"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highlight w:val="none"/>
              </w:rPr>
            </w:pPr>
            <w:r>
              <w:rPr>
                <w:rStyle w:val="13"/>
                <w:rFonts w:hint="eastAsia" w:ascii="宋体" w:hAnsi="宋体" w:eastAsia="宋体" w:cs="宋体"/>
                <w:highlight w:val="none"/>
              </w:rPr>
              <w:t>监测主设备</w:t>
            </w:r>
          </w:p>
        </w:tc>
        <w:tc>
          <w:tcPr>
            <w:tcW w:w="816"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highlight w:val="none"/>
              </w:rPr>
            </w:pPr>
            <w:r>
              <w:rPr>
                <w:rStyle w:val="13"/>
                <w:rFonts w:hint="eastAsia" w:ascii="宋体" w:hAnsi="宋体" w:eastAsia="宋体" w:cs="宋体"/>
                <w:highlight w:val="none"/>
              </w:rPr>
              <w:t>厂家</w:t>
            </w:r>
          </w:p>
        </w:tc>
        <w:tc>
          <w:tcPr>
            <w:tcW w:w="774"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highlight w:val="none"/>
              </w:rPr>
            </w:pPr>
            <w:r>
              <w:rPr>
                <w:rStyle w:val="13"/>
                <w:rFonts w:hint="eastAsia" w:ascii="宋体" w:hAnsi="宋体" w:eastAsia="宋体" w:cs="宋体"/>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88"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highlight w:val="none"/>
              </w:rPr>
            </w:pPr>
            <w:r>
              <w:rPr>
                <w:rFonts w:hint="eastAsia" w:ascii="宋体" w:hAnsi="宋体" w:eastAsia="宋体" w:cs="宋体"/>
                <w:sz w:val="24"/>
                <w:szCs w:val="24"/>
                <w:highlight w:val="none"/>
              </w:rPr>
              <w:t>1</w:t>
            </w:r>
          </w:p>
        </w:tc>
        <w:tc>
          <w:tcPr>
            <w:tcW w:w="1524"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highlight w:val="none"/>
              </w:rPr>
            </w:pPr>
            <w:r>
              <w:rPr>
                <w:rFonts w:hint="eastAsia" w:ascii="宋体" w:hAnsi="宋体" w:eastAsia="宋体" w:cs="宋体"/>
                <w:sz w:val="24"/>
                <w:szCs w:val="24"/>
                <w:highlight w:val="none"/>
              </w:rPr>
              <w:t>移动监测站</w:t>
            </w:r>
          </w:p>
        </w:tc>
        <w:tc>
          <w:tcPr>
            <w:tcW w:w="1396"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eastAsia="宋体" w:asciiTheme="minorHAnsi" w:hAnsiTheme="minorHAnsi" w:cstheme="minorBidi"/>
                <w:kern w:val="0"/>
                <w:sz w:val="24"/>
                <w:szCs w:val="24"/>
                <w:highlight w:val="none"/>
                <w:lang w:val="en-US" w:eastAsia="zh-CN" w:bidi="ar"/>
              </w:rPr>
            </w:pPr>
            <w:r>
              <w:rPr>
                <w:rFonts w:hint="eastAsia" w:ascii="宋体" w:hAnsi="宋体" w:eastAsia="宋体" w:cs="宋体"/>
                <w:sz w:val="24"/>
                <w:szCs w:val="24"/>
                <w:highlight w:val="none"/>
              </w:rPr>
              <w:t>监测接收机ESM</w:t>
            </w:r>
            <w:r>
              <w:rPr>
                <w:rFonts w:hint="eastAsia" w:ascii="宋体" w:hAnsi="宋体" w:eastAsia="宋体" w:cs="宋体"/>
                <w:sz w:val="24"/>
                <w:szCs w:val="24"/>
                <w:highlight w:val="none"/>
                <w:lang w:val="en-US" w:eastAsia="zh-CN"/>
              </w:rPr>
              <w:t>D</w:t>
            </w:r>
          </w:p>
        </w:tc>
        <w:tc>
          <w:tcPr>
            <w:tcW w:w="816"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asciiTheme="minorHAnsi" w:hAnsiTheme="minorHAnsi" w:eastAsiaTheme="minorEastAsia" w:cstheme="minorBidi"/>
                <w:kern w:val="0"/>
                <w:sz w:val="24"/>
                <w:szCs w:val="24"/>
                <w:highlight w:val="none"/>
                <w:lang w:val="en-US" w:eastAsia="zh-CN" w:bidi="ar"/>
              </w:rPr>
            </w:pPr>
            <w:r>
              <w:rPr>
                <w:rFonts w:hint="eastAsia" w:ascii="宋体" w:hAnsi="宋体" w:eastAsia="宋体" w:cs="宋体"/>
                <w:sz w:val="24"/>
                <w:szCs w:val="24"/>
                <w:highlight w:val="none"/>
              </w:rPr>
              <w:t>德国R&amp;S</w:t>
            </w:r>
          </w:p>
        </w:tc>
        <w:tc>
          <w:tcPr>
            <w:tcW w:w="774"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asciiTheme="minorHAnsi" w:hAnsiTheme="minorHAnsi" w:eastAsiaTheme="minorEastAsia" w:cstheme="minorBidi"/>
                <w:kern w:val="0"/>
                <w:sz w:val="24"/>
                <w:szCs w:val="24"/>
                <w:highlight w:val="none"/>
                <w:lang w:val="en-US" w:eastAsia="zh-CN" w:bidi="ar"/>
              </w:rPr>
            </w:pPr>
            <w:r>
              <w:rPr>
                <w:rFonts w:hint="eastAsia" w:ascii="宋体" w:hAnsi="宋体" w:eastAsia="宋体" w:cs="宋体"/>
                <w:sz w:val="24"/>
                <w:szCs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88" w:type="pct"/>
            <w:vMerge w:val="continue"/>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highlight w:val="none"/>
              </w:rPr>
            </w:pPr>
          </w:p>
        </w:tc>
        <w:tc>
          <w:tcPr>
            <w:tcW w:w="1524" w:type="pct"/>
            <w:vMerge w:val="continue"/>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highlight w:val="none"/>
              </w:rPr>
            </w:pPr>
          </w:p>
        </w:tc>
        <w:tc>
          <w:tcPr>
            <w:tcW w:w="1396"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eastAsia="宋体" w:asciiTheme="minorHAnsi" w:hAnsiTheme="minorHAnsi" w:cstheme="minorBidi"/>
                <w:kern w:val="0"/>
                <w:sz w:val="24"/>
                <w:szCs w:val="24"/>
                <w:highlight w:val="none"/>
                <w:lang w:val="en-US" w:eastAsia="zh-CN" w:bidi="ar"/>
              </w:rPr>
            </w:pPr>
            <w:r>
              <w:rPr>
                <w:rFonts w:hint="eastAsia" w:ascii="宋体" w:hAnsi="宋体" w:eastAsia="宋体" w:cs="宋体"/>
                <w:sz w:val="24"/>
                <w:szCs w:val="24"/>
                <w:highlight w:val="none"/>
              </w:rPr>
              <w:t>测向接收机DDF</w:t>
            </w:r>
            <w:r>
              <w:rPr>
                <w:rFonts w:hint="eastAsia" w:ascii="宋体" w:hAnsi="宋体" w:eastAsia="宋体" w:cs="宋体"/>
                <w:sz w:val="24"/>
                <w:szCs w:val="24"/>
                <w:highlight w:val="none"/>
                <w:lang w:val="en-US" w:eastAsia="zh-CN"/>
              </w:rPr>
              <w:t>05E</w:t>
            </w:r>
          </w:p>
        </w:tc>
        <w:tc>
          <w:tcPr>
            <w:tcW w:w="816"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HAnsi" w:hAnsiTheme="minorHAnsi" w:eastAsiaTheme="minorEastAsia" w:cstheme="minorBidi"/>
                <w:kern w:val="0"/>
                <w:sz w:val="24"/>
                <w:szCs w:val="24"/>
                <w:highlight w:val="none"/>
                <w:lang w:val="en-US" w:eastAsia="zh-CN" w:bidi="ar"/>
              </w:rPr>
            </w:pPr>
            <w:r>
              <w:rPr>
                <w:rFonts w:hint="eastAsia" w:ascii="宋体" w:hAnsi="宋体" w:eastAsia="宋体" w:cs="宋体"/>
                <w:sz w:val="24"/>
                <w:szCs w:val="24"/>
                <w:highlight w:val="none"/>
              </w:rPr>
              <w:t>德国R&amp;S</w:t>
            </w:r>
          </w:p>
        </w:tc>
        <w:tc>
          <w:tcPr>
            <w:tcW w:w="774"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HAnsi" w:hAnsiTheme="minorHAnsi" w:eastAsiaTheme="minorEastAsia" w:cstheme="minorBidi"/>
                <w:kern w:val="0"/>
                <w:sz w:val="24"/>
                <w:szCs w:val="24"/>
                <w:highlight w:val="none"/>
                <w:lang w:val="en-US" w:eastAsia="zh-CN" w:bidi="ar"/>
              </w:rPr>
            </w:pPr>
            <w:r>
              <w:rPr>
                <w:rFonts w:hint="eastAsia" w:ascii="宋体" w:hAnsi="宋体" w:eastAsia="宋体" w:cs="宋体"/>
                <w:sz w:val="24"/>
                <w:szCs w:val="24"/>
                <w:highlight w:val="none"/>
              </w:rPr>
              <w:t>1台</w:t>
            </w:r>
          </w:p>
        </w:tc>
      </w:tr>
    </w:tbl>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2" w:firstLineChars="200"/>
        <w:textAlignment w:val="auto"/>
        <w:outlineLvl w:val="3"/>
        <w:rPr>
          <w:rStyle w:val="13"/>
          <w:rFonts w:hint="default" w:ascii="宋体" w:hAnsi="宋体" w:eastAsia="宋体" w:cs="宋体"/>
          <w:lang w:val="en-US" w:eastAsia="zh-CN"/>
        </w:rPr>
      </w:pPr>
      <w:r>
        <w:rPr>
          <w:rStyle w:val="13"/>
          <w:rFonts w:hint="eastAsia" w:ascii="宋体" w:hAnsi="宋体" w:eastAsia="宋体" w:cs="宋体"/>
          <w:lang w:val="en-US" w:eastAsia="zh-CN"/>
        </w:rPr>
        <w:t>3.便携式监测设备</w:t>
      </w:r>
    </w:p>
    <w:tbl>
      <w:tblPr>
        <w:tblStyle w:val="10"/>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15"/>
        <w:gridCol w:w="2539"/>
        <w:gridCol w:w="2333"/>
        <w:gridCol w:w="1381"/>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48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highlight w:val="none"/>
              </w:rPr>
            </w:pPr>
            <w:r>
              <w:rPr>
                <w:rStyle w:val="13"/>
                <w:rFonts w:hint="eastAsia" w:ascii="宋体" w:hAnsi="宋体" w:eastAsia="宋体" w:cs="宋体"/>
                <w:highlight w:val="none"/>
              </w:rPr>
              <w:t>序号</w:t>
            </w:r>
          </w:p>
        </w:tc>
        <w:tc>
          <w:tcPr>
            <w:tcW w:w="1517" w:type="pct"/>
            <w:tcBorders>
              <w:tl2br w:val="nil"/>
              <w:tr2bl w:val="nil"/>
            </w:tcBorders>
            <w:shd w:val="clear" w:color="auto" w:fill="FFFFFF"/>
            <w:vAlign w:val="center"/>
          </w:tcPr>
          <w:p>
            <w:pPr>
              <w:pStyle w:val="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eastAsiaTheme="minorEastAsia"/>
                <w:highlight w:val="none"/>
                <w:lang w:eastAsia="zh-CN"/>
              </w:rPr>
            </w:pPr>
            <w:r>
              <w:rPr>
                <w:rStyle w:val="13"/>
                <w:rFonts w:hint="eastAsia" w:ascii="宋体" w:hAnsi="宋体" w:eastAsia="宋体" w:cs="宋体"/>
                <w:highlight w:val="none"/>
                <w:lang w:eastAsia="zh-CN"/>
              </w:rPr>
              <w:t>设备名称</w:t>
            </w:r>
          </w:p>
        </w:tc>
        <w:tc>
          <w:tcPr>
            <w:tcW w:w="1394"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highlight w:val="none"/>
              </w:rPr>
            </w:pPr>
            <w:r>
              <w:rPr>
                <w:rStyle w:val="13"/>
                <w:rFonts w:hint="eastAsia" w:ascii="宋体" w:hAnsi="宋体" w:eastAsia="宋体" w:cs="宋体"/>
                <w:highlight w:val="none"/>
              </w:rPr>
              <w:t>监测主设备</w:t>
            </w:r>
          </w:p>
        </w:tc>
        <w:tc>
          <w:tcPr>
            <w:tcW w:w="825"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highlight w:val="none"/>
              </w:rPr>
            </w:pPr>
            <w:r>
              <w:rPr>
                <w:rStyle w:val="13"/>
                <w:rFonts w:hint="eastAsia" w:ascii="宋体" w:hAnsi="宋体" w:eastAsia="宋体" w:cs="宋体"/>
                <w:highlight w:val="none"/>
              </w:rPr>
              <w:t>厂家</w:t>
            </w:r>
          </w:p>
        </w:tc>
        <w:tc>
          <w:tcPr>
            <w:tcW w:w="774"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highlight w:val="none"/>
              </w:rPr>
            </w:pPr>
            <w:r>
              <w:rPr>
                <w:rStyle w:val="13"/>
                <w:rFonts w:hint="eastAsia" w:ascii="宋体" w:hAnsi="宋体" w:eastAsia="宋体" w:cs="宋体"/>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8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highlight w:val="none"/>
              </w:rPr>
            </w:pPr>
            <w:r>
              <w:rPr>
                <w:rFonts w:hint="eastAsia" w:ascii="宋体" w:hAnsi="宋体" w:eastAsia="宋体" w:cs="宋体"/>
                <w:sz w:val="24"/>
                <w:szCs w:val="24"/>
                <w:highlight w:val="none"/>
              </w:rPr>
              <w:t>1</w:t>
            </w:r>
          </w:p>
        </w:tc>
        <w:tc>
          <w:tcPr>
            <w:tcW w:w="151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Theme="minorEastAsia"/>
                <w:highlight w:val="none"/>
                <w:lang w:eastAsia="zh-CN"/>
              </w:rPr>
            </w:pPr>
            <w:r>
              <w:rPr>
                <w:rFonts w:hint="eastAsia" w:ascii="宋体" w:hAnsi="宋体" w:eastAsia="宋体" w:cs="宋体"/>
                <w:sz w:val="24"/>
                <w:szCs w:val="24"/>
                <w:highlight w:val="none"/>
                <w:lang w:eastAsia="zh-CN"/>
              </w:rPr>
              <w:t>便携式监测设备</w:t>
            </w:r>
          </w:p>
        </w:tc>
        <w:tc>
          <w:tcPr>
            <w:tcW w:w="1394"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default" w:eastAsia="宋体"/>
                <w:highlight w:val="none"/>
                <w:lang w:val="en-US" w:eastAsia="zh-CN"/>
              </w:rPr>
            </w:pPr>
            <w:r>
              <w:rPr>
                <w:rFonts w:hint="eastAsia" w:ascii="宋体" w:hAnsi="宋体" w:eastAsia="宋体" w:cs="宋体"/>
                <w:sz w:val="24"/>
                <w:szCs w:val="24"/>
                <w:highlight w:val="none"/>
                <w:lang w:eastAsia="zh-CN"/>
              </w:rPr>
              <w:t>监测接收机</w:t>
            </w:r>
            <w:r>
              <w:rPr>
                <w:rFonts w:hint="eastAsia" w:ascii="宋体" w:hAnsi="宋体" w:eastAsia="宋体" w:cs="宋体"/>
                <w:sz w:val="24"/>
                <w:szCs w:val="24"/>
                <w:highlight w:val="none"/>
                <w:lang w:val="en-US" w:eastAsia="zh-CN"/>
              </w:rPr>
              <w:t>PR100</w:t>
            </w:r>
          </w:p>
        </w:tc>
        <w:tc>
          <w:tcPr>
            <w:tcW w:w="825"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highlight w:val="none"/>
              </w:rPr>
            </w:pPr>
            <w:r>
              <w:rPr>
                <w:rFonts w:hint="eastAsia" w:ascii="宋体" w:hAnsi="宋体" w:eastAsia="宋体" w:cs="宋体"/>
                <w:sz w:val="24"/>
                <w:szCs w:val="24"/>
                <w:highlight w:val="none"/>
              </w:rPr>
              <w:t>德国R&amp;S</w:t>
            </w:r>
          </w:p>
        </w:tc>
        <w:tc>
          <w:tcPr>
            <w:tcW w:w="774"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宋体"/>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套</w:t>
            </w:r>
          </w:p>
        </w:tc>
      </w:tr>
    </w:tbl>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2" w:firstLineChars="200"/>
        <w:textAlignment w:val="auto"/>
        <w:outlineLvl w:val="3"/>
        <w:rPr>
          <w:rStyle w:val="13"/>
          <w:rFonts w:hint="default" w:ascii="宋体" w:hAnsi="宋体" w:eastAsia="宋体" w:cs="宋体"/>
          <w:lang w:val="en-US" w:eastAsia="zh-CN"/>
        </w:rPr>
      </w:pPr>
      <w:r>
        <w:rPr>
          <w:rStyle w:val="13"/>
          <w:rFonts w:hint="eastAsia" w:ascii="宋体" w:hAnsi="宋体" w:eastAsia="宋体" w:cs="宋体"/>
          <w:lang w:val="en-US" w:eastAsia="zh-CN"/>
        </w:rPr>
        <w:t>4.无线电控制中心</w:t>
      </w:r>
    </w:p>
    <w:tbl>
      <w:tblPr>
        <w:tblStyle w:val="10"/>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14"/>
        <w:gridCol w:w="2533"/>
        <w:gridCol w:w="2304"/>
        <w:gridCol w:w="1409"/>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trPr>
        <w:tc>
          <w:tcPr>
            <w:tcW w:w="48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Style w:val="13"/>
                <w:rFonts w:hint="eastAsia" w:ascii="宋体" w:hAnsi="宋体" w:eastAsia="宋体" w:cs="宋体"/>
              </w:rPr>
              <w:t>序号</w:t>
            </w:r>
          </w:p>
        </w:tc>
        <w:tc>
          <w:tcPr>
            <w:tcW w:w="1516" w:type="pct"/>
            <w:tcBorders>
              <w:tl2br w:val="nil"/>
              <w:tr2bl w:val="nil"/>
            </w:tcBorders>
            <w:shd w:val="clear" w:color="auto" w:fill="FFFFFF"/>
            <w:vAlign w:val="center"/>
          </w:tcPr>
          <w:p>
            <w:pPr>
              <w:pStyle w:val="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eastAsiaTheme="minorEastAsia"/>
                <w:lang w:eastAsia="zh-CN"/>
              </w:rPr>
            </w:pPr>
            <w:r>
              <w:rPr>
                <w:rStyle w:val="13"/>
                <w:rFonts w:hint="eastAsia" w:ascii="宋体" w:hAnsi="宋体" w:eastAsia="宋体" w:cs="宋体"/>
                <w:lang w:eastAsia="zh-CN"/>
              </w:rPr>
              <w:t>设备名称</w:t>
            </w:r>
          </w:p>
        </w:tc>
        <w:tc>
          <w:tcPr>
            <w:tcW w:w="1379"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Theme="minorEastAsia"/>
                <w:lang w:eastAsia="zh-CN"/>
              </w:rPr>
            </w:pPr>
            <w:r>
              <w:rPr>
                <w:rStyle w:val="13"/>
                <w:rFonts w:hint="eastAsia" w:ascii="宋体" w:hAnsi="宋体" w:eastAsia="宋体" w:cs="宋体"/>
                <w:lang w:eastAsia="zh-CN"/>
              </w:rPr>
              <w:t>品牌型号</w:t>
            </w:r>
          </w:p>
        </w:tc>
        <w:tc>
          <w:tcPr>
            <w:tcW w:w="843"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Style w:val="13"/>
                <w:rFonts w:hint="eastAsia" w:ascii="宋体" w:hAnsi="宋体" w:eastAsia="宋体" w:cs="宋体"/>
              </w:rPr>
              <w:t>厂家</w:t>
            </w:r>
          </w:p>
        </w:tc>
        <w:tc>
          <w:tcPr>
            <w:tcW w:w="774"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Style w:val="13"/>
                <w:rFonts w:hint="eastAsia" w:ascii="宋体" w:hAnsi="宋体" w:eastAsia="宋体" w:cs="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1</w:t>
            </w:r>
          </w:p>
        </w:tc>
        <w:tc>
          <w:tcPr>
            <w:tcW w:w="1516"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Theme="minorEastAsia"/>
                <w:lang w:eastAsia="zh-CN"/>
              </w:rPr>
            </w:pPr>
            <w:r>
              <w:rPr>
                <w:rFonts w:hint="eastAsia" w:ascii="宋体" w:hAnsi="宋体" w:eastAsia="宋体" w:cs="宋体"/>
                <w:sz w:val="24"/>
                <w:szCs w:val="24"/>
                <w:lang w:eastAsia="zh-CN"/>
              </w:rPr>
              <w:t>大屏系统</w:t>
            </w:r>
          </w:p>
        </w:tc>
        <w:tc>
          <w:tcPr>
            <w:tcW w:w="2304" w:type="dxa"/>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eastAsia="宋体"/>
                <w:highlight w:val="none"/>
                <w:lang w:val="en-US" w:eastAsia="zh-CN"/>
              </w:rPr>
            </w:pPr>
            <w:r>
              <w:rPr>
                <w:rFonts w:hint="eastAsia" w:eastAsia="宋体"/>
                <w:highlight w:val="none"/>
                <w:lang w:val="en-US" w:eastAsia="zh-CN"/>
              </w:rPr>
              <w:t>——</w:t>
            </w:r>
          </w:p>
        </w:tc>
        <w:tc>
          <w:tcPr>
            <w:tcW w:w="1409" w:type="dxa"/>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rightChars="0"/>
              <w:jc w:val="center"/>
              <w:textAlignment w:val="auto"/>
              <w:rPr>
                <w:highlight w:val="none"/>
              </w:rPr>
            </w:pPr>
            <w:r>
              <w:rPr>
                <w:rFonts w:hint="eastAsia" w:eastAsia="宋体"/>
                <w:highlight w:val="none"/>
                <w:lang w:val="en-US" w:eastAsia="zh-CN"/>
              </w:rPr>
              <w:t>——</w:t>
            </w:r>
          </w:p>
        </w:tc>
        <w:tc>
          <w:tcPr>
            <w:tcW w:w="774"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宋体"/>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516"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视频会议系统</w:t>
            </w:r>
          </w:p>
        </w:tc>
        <w:tc>
          <w:tcPr>
            <w:tcW w:w="1379"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Polycom</w:t>
            </w:r>
          </w:p>
        </w:tc>
        <w:tc>
          <w:tcPr>
            <w:tcW w:w="843"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宝利通</w:t>
            </w:r>
          </w:p>
        </w:tc>
        <w:tc>
          <w:tcPr>
            <w:tcW w:w="774"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516"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控制终端</w:t>
            </w:r>
          </w:p>
        </w:tc>
        <w:tc>
          <w:tcPr>
            <w:tcW w:w="1379"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联想、戴尔</w:t>
            </w:r>
          </w:p>
        </w:tc>
        <w:tc>
          <w:tcPr>
            <w:tcW w:w="843"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联想、戴尔等</w:t>
            </w:r>
          </w:p>
        </w:tc>
        <w:tc>
          <w:tcPr>
            <w:tcW w:w="774"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516"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控制中心电动伸缩门</w:t>
            </w:r>
          </w:p>
        </w:tc>
        <w:tc>
          <w:tcPr>
            <w:tcW w:w="1379"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宋体"/>
                <w:highlight w:val="none"/>
                <w:lang w:val="en-US" w:eastAsia="zh-CN"/>
              </w:rPr>
            </w:pPr>
            <w:r>
              <w:rPr>
                <w:rFonts w:hint="eastAsia" w:eastAsia="宋体"/>
                <w:highlight w:val="none"/>
                <w:lang w:val="en-US" w:eastAsia="zh-CN"/>
              </w:rPr>
              <w:t>——</w:t>
            </w:r>
          </w:p>
        </w:tc>
        <w:tc>
          <w:tcPr>
            <w:tcW w:w="843"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highlight w:val="none"/>
              </w:rPr>
            </w:pPr>
            <w:r>
              <w:rPr>
                <w:rFonts w:hint="eastAsia" w:eastAsia="宋体"/>
                <w:highlight w:val="none"/>
                <w:lang w:val="en-US" w:eastAsia="zh-CN"/>
              </w:rPr>
              <w:t>——</w:t>
            </w:r>
          </w:p>
        </w:tc>
        <w:tc>
          <w:tcPr>
            <w:tcW w:w="774"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1套</w:t>
            </w:r>
          </w:p>
        </w:tc>
      </w:tr>
    </w:tbl>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2" w:firstLineChars="200"/>
        <w:textAlignment w:val="auto"/>
        <w:outlineLvl w:val="2"/>
      </w:pPr>
      <w:r>
        <w:rPr>
          <w:rStyle w:val="13"/>
          <w:rFonts w:hint="eastAsia" w:ascii="宋体" w:hAnsi="宋体" w:eastAsia="宋体" w:cs="宋体"/>
        </w:rPr>
        <w:t>（四）运维服务内容及要求</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outlineLvl w:val="3"/>
      </w:pPr>
      <w:r>
        <w:rPr>
          <w:rStyle w:val="13"/>
          <w:rFonts w:hint="eastAsia" w:ascii="宋体" w:hAnsi="宋体" w:eastAsia="宋体" w:cs="宋体"/>
        </w:rPr>
        <w:t>1.现场勘察采集和巡检核验（首次）</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勘察巡检要求：运维服务期第一个月内负责按照巡检的规范要求完成无线电</w:t>
      </w:r>
      <w:r>
        <w:rPr>
          <w:rFonts w:hint="eastAsia" w:ascii="宋体" w:hAnsi="宋体" w:eastAsia="宋体" w:cs="宋体"/>
          <w:sz w:val="24"/>
          <w:szCs w:val="24"/>
          <w:lang w:eastAsia="zh-CN"/>
        </w:rPr>
        <w:t>技术</w:t>
      </w:r>
      <w:r>
        <w:rPr>
          <w:rFonts w:hint="eastAsia" w:ascii="宋体" w:hAnsi="宋体" w:eastAsia="宋体" w:cs="宋体"/>
          <w:sz w:val="24"/>
          <w:szCs w:val="24"/>
        </w:rPr>
        <w:t>设施首次现场勘察采集和巡检核验。</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勘察巡检主要内容：</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对无线电</w:t>
      </w:r>
      <w:r>
        <w:rPr>
          <w:rFonts w:hint="eastAsia" w:ascii="宋体" w:hAnsi="宋体" w:eastAsia="宋体" w:cs="宋体"/>
          <w:sz w:val="24"/>
          <w:szCs w:val="24"/>
          <w:lang w:eastAsia="zh-CN"/>
        </w:rPr>
        <w:t>技术设备和配套设施</w:t>
      </w:r>
      <w:r>
        <w:rPr>
          <w:rFonts w:hint="eastAsia" w:ascii="宋体" w:hAnsi="宋体" w:eastAsia="宋体" w:cs="宋体"/>
          <w:sz w:val="24"/>
          <w:szCs w:val="24"/>
        </w:rPr>
        <w:t>进行测试和检查，掌握各类设备及系统的实际运行状况；</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）对无线电技术设施进行</w:t>
      </w:r>
      <w:r>
        <w:rPr>
          <w:rFonts w:hint="eastAsia" w:ascii="宋体" w:hAnsi="宋体" w:eastAsia="宋体" w:cs="宋体"/>
          <w:sz w:val="24"/>
          <w:szCs w:val="24"/>
        </w:rPr>
        <w:t>现场点验登记，并按照设施类别详细采集记录监测测向系统、控制与网络设备、机房环境和安防监控设备、软件及运行环境等各类设备及系统的基本信息、主要配置情况、运行状况等，收集或绘制各固定站站内设备连接拓扑结构图、安装图、机柜图等；</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对无线电监测设施全景和各设施局部场景等进行拍摄采集，对各无线电监测设备状态进行综合评估并建立完整的、标准的运维档案。</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）第一个服务周期（三个月）结束后15日内提供一份满足要求的</w:t>
      </w:r>
      <w:r>
        <w:rPr>
          <w:rFonts w:hint="eastAsia" w:ascii="宋体" w:hAnsi="宋体" w:eastAsia="宋体" w:cs="宋体"/>
          <w:sz w:val="24"/>
          <w:szCs w:val="24"/>
        </w:rPr>
        <w:t>巡检报告</w:t>
      </w:r>
      <w:r>
        <w:rPr>
          <w:rFonts w:hint="eastAsia" w:ascii="宋体" w:hAnsi="宋体" w:eastAsia="宋体" w:cs="宋体"/>
          <w:sz w:val="24"/>
          <w:szCs w:val="24"/>
          <w:lang w:eastAsia="zh-CN"/>
        </w:rPr>
        <w:t>。</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outlineLvl w:val="3"/>
      </w:pPr>
      <w:r>
        <w:rPr>
          <w:rStyle w:val="13"/>
          <w:rFonts w:hint="eastAsia" w:ascii="宋体" w:hAnsi="宋体" w:eastAsia="宋体" w:cs="宋体"/>
        </w:rPr>
        <w:t>2.</w:t>
      </w:r>
      <w:r>
        <w:rPr>
          <w:rStyle w:val="13"/>
          <w:rFonts w:hint="eastAsia" w:ascii="宋体" w:hAnsi="宋体" w:eastAsia="宋体" w:cs="宋体"/>
          <w:lang w:eastAsia="zh-CN"/>
        </w:rPr>
        <w:t>定期</w:t>
      </w:r>
      <w:r>
        <w:rPr>
          <w:rStyle w:val="13"/>
          <w:rFonts w:hint="eastAsia" w:ascii="宋体" w:hAnsi="宋体" w:eastAsia="宋体" w:cs="宋体"/>
        </w:rPr>
        <w:t>现场巡检工作</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outlineLvl w:val="4"/>
      </w:pPr>
      <w:r>
        <w:rPr>
          <w:rFonts w:hint="eastAsia" w:ascii="宋体" w:hAnsi="宋体" w:eastAsia="宋体" w:cs="宋体"/>
          <w:sz w:val="24"/>
          <w:szCs w:val="24"/>
        </w:rPr>
        <w:t>2.1</w:t>
      </w:r>
      <w:r>
        <w:rPr>
          <w:rFonts w:hint="eastAsia" w:ascii="宋体" w:hAnsi="宋体" w:eastAsia="宋体" w:cs="宋体"/>
          <w:sz w:val="24"/>
          <w:szCs w:val="24"/>
          <w:lang w:eastAsia="zh-CN"/>
        </w:rPr>
        <w:t>定期</w:t>
      </w:r>
      <w:r>
        <w:rPr>
          <w:rFonts w:hint="eastAsia" w:ascii="宋体" w:hAnsi="宋体" w:eastAsia="宋体" w:cs="宋体"/>
          <w:sz w:val="24"/>
          <w:szCs w:val="24"/>
        </w:rPr>
        <w:t>现场巡检要求</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（1）运维服务期内每</w:t>
      </w:r>
      <w:r>
        <w:rPr>
          <w:rFonts w:hint="eastAsia" w:ascii="宋体" w:hAnsi="宋体" w:eastAsia="宋体" w:cs="宋体"/>
          <w:sz w:val="24"/>
          <w:szCs w:val="24"/>
          <w:lang w:eastAsia="zh-CN"/>
        </w:rPr>
        <w:t>三个月</w:t>
      </w:r>
      <w:r>
        <w:rPr>
          <w:rFonts w:hint="eastAsia" w:ascii="宋体" w:hAnsi="宋体" w:eastAsia="宋体" w:cs="宋体"/>
          <w:sz w:val="24"/>
          <w:szCs w:val="24"/>
        </w:rPr>
        <w:t>至少1次负责按照巡检的规范要求完成无线电</w:t>
      </w:r>
      <w:r>
        <w:rPr>
          <w:rFonts w:hint="eastAsia" w:ascii="宋体" w:hAnsi="宋体" w:eastAsia="宋体" w:cs="宋体"/>
          <w:sz w:val="24"/>
          <w:szCs w:val="24"/>
          <w:lang w:eastAsia="zh-CN"/>
        </w:rPr>
        <w:t>技术</w:t>
      </w:r>
      <w:r>
        <w:rPr>
          <w:rFonts w:hint="eastAsia" w:ascii="宋体" w:hAnsi="宋体" w:eastAsia="宋体" w:cs="宋体"/>
          <w:sz w:val="24"/>
          <w:szCs w:val="24"/>
        </w:rPr>
        <w:t>设施</w:t>
      </w:r>
      <w:r>
        <w:rPr>
          <w:rFonts w:hint="eastAsia" w:ascii="宋体" w:hAnsi="宋体" w:eastAsia="宋体" w:cs="宋体"/>
          <w:sz w:val="24"/>
          <w:szCs w:val="24"/>
          <w:lang w:eastAsia="zh-CN"/>
        </w:rPr>
        <w:t>定期</w:t>
      </w:r>
      <w:r>
        <w:rPr>
          <w:rFonts w:hint="eastAsia" w:ascii="宋体" w:hAnsi="宋体" w:eastAsia="宋体" w:cs="宋体"/>
          <w:sz w:val="24"/>
          <w:szCs w:val="24"/>
        </w:rPr>
        <w:t>现场巡检；</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）实施巡检前应编制巡检计划、规范巡检程序并向省无线电监测站平潭直属分站报备，巡检内容应满足国家和省有关监测设施巡检规范和要求；</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）每次现场巡检需对机房环境、设备运行、铁塔天馈、配电防雷、空调运行、消防安防等全要素进行巡查；</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）保持机房环境整洁，设施完好，故障及时响应处置，并做好监测设施巡检记录；</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）每</w:t>
      </w:r>
      <w:r>
        <w:rPr>
          <w:rFonts w:hint="eastAsia" w:ascii="宋体" w:hAnsi="宋体" w:eastAsia="宋体" w:cs="宋体"/>
          <w:sz w:val="24"/>
          <w:szCs w:val="24"/>
          <w:lang w:eastAsia="zh-CN"/>
        </w:rPr>
        <w:t>个服务周期（三个月）结束后</w:t>
      </w:r>
      <w:r>
        <w:rPr>
          <w:rFonts w:hint="eastAsia" w:ascii="宋体" w:hAnsi="宋体" w:eastAsia="宋体" w:cs="宋体"/>
          <w:sz w:val="24"/>
          <w:szCs w:val="24"/>
        </w:rPr>
        <w:t>15日内提供一份满足要求的巡检报告。</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outlineLvl w:val="4"/>
      </w:pPr>
      <w:r>
        <w:rPr>
          <w:rFonts w:hint="eastAsia" w:ascii="宋体" w:hAnsi="宋体" w:eastAsia="宋体" w:cs="宋体"/>
          <w:sz w:val="24"/>
          <w:szCs w:val="24"/>
        </w:rPr>
        <w:t>2.2</w:t>
      </w:r>
      <w:r>
        <w:rPr>
          <w:rFonts w:hint="eastAsia" w:ascii="宋体" w:hAnsi="宋体" w:eastAsia="宋体" w:cs="宋体"/>
          <w:sz w:val="24"/>
          <w:szCs w:val="24"/>
          <w:lang w:eastAsia="zh-CN"/>
        </w:rPr>
        <w:t>定期</w:t>
      </w:r>
      <w:r>
        <w:rPr>
          <w:rFonts w:hint="eastAsia" w:ascii="宋体" w:hAnsi="宋体" w:eastAsia="宋体" w:cs="宋体"/>
          <w:sz w:val="24"/>
          <w:szCs w:val="24"/>
        </w:rPr>
        <w:t>现场巡检内容</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outlineLvl w:val="5"/>
      </w:pPr>
      <w:r>
        <w:rPr>
          <w:rFonts w:hint="eastAsia" w:ascii="宋体" w:hAnsi="宋体" w:eastAsia="宋体" w:cs="宋体"/>
          <w:sz w:val="24"/>
          <w:szCs w:val="24"/>
        </w:rPr>
        <w:t>（1）无线电固定监测站</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38"/>
        <w:gridCol w:w="1266"/>
        <w:gridCol w:w="2381"/>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384"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序号</w:t>
            </w:r>
          </w:p>
        </w:tc>
        <w:tc>
          <w:tcPr>
            <w:tcW w:w="76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巡检设备</w:t>
            </w: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巡检项目</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巡检要求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1</w:t>
            </w:r>
          </w:p>
        </w:tc>
        <w:tc>
          <w:tcPr>
            <w:tcW w:w="76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天馈系统</w:t>
            </w: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监测通路驻波比检查</w:t>
            </w:r>
          </w:p>
        </w:tc>
        <w:tc>
          <w:tcPr>
            <w:tcW w:w="242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检查监测天线在其工作范围的工作状态，确保能够实时准确的捕捉到天线所处空间的电波信号。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trPr>
        <w:tc>
          <w:tcPr>
            <w:tcW w:w="384" w:type="pct"/>
            <w:vMerge w:val="continue"/>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p>
        </w:tc>
        <w:tc>
          <w:tcPr>
            <w:tcW w:w="761" w:type="pct"/>
            <w:vMerge w:val="continue"/>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监测功能</w:t>
            </w:r>
          </w:p>
        </w:tc>
        <w:tc>
          <w:tcPr>
            <w:tcW w:w="2421" w:type="pct"/>
            <w:vMerge w:val="continue"/>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trPr>
        <w:tc>
          <w:tcPr>
            <w:tcW w:w="384" w:type="pct"/>
            <w:vMerge w:val="continue"/>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p>
        </w:tc>
        <w:tc>
          <w:tcPr>
            <w:tcW w:w="761" w:type="pct"/>
            <w:vMerge w:val="continue"/>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rPr>
            </w:pPr>
            <w:r>
              <w:rPr>
                <w:rFonts w:hint="eastAsia" w:ascii="宋体" w:hAnsi="宋体" w:eastAsia="宋体" w:cs="宋体"/>
                <w:sz w:val="24"/>
                <w:szCs w:val="24"/>
              </w:rPr>
              <w:t>天线阵单元检查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检查测向天线各阵子工作是否正常。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天线外观检查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检查天线自身，确保天线外部无损伤。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天线及天线支臂固定情况检查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检查天线固定情况，查看天线和天线支臂是否存在松动。查看固定天线的螺丝是否存在氧化情况。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馈线、控制线接头检查</w:t>
            </w:r>
          </w:p>
        </w:tc>
        <w:tc>
          <w:tcPr>
            <w:tcW w:w="242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检查馈线、控制线接头是否存在裸露或氧化情况。及时有效的做好防水处理。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防水情况检查</w:t>
            </w:r>
          </w:p>
        </w:tc>
        <w:tc>
          <w:tcPr>
            <w:tcW w:w="242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4"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HAnsi" w:hAnsiTheme="minorHAnsi" w:eastAsiaTheme="minorEastAsia" w:cstheme="minorBidi"/>
                <w:kern w:val="0"/>
                <w:sz w:val="24"/>
                <w:szCs w:val="24"/>
                <w:lang w:val="en-US" w:eastAsia="zh-CN" w:bidi="ar"/>
              </w:rPr>
            </w:pPr>
            <w:r>
              <w:rPr>
                <w:rFonts w:hint="eastAsia" w:ascii="宋体" w:hAnsi="宋体" w:eastAsia="宋体" w:cs="宋体"/>
                <w:sz w:val="24"/>
                <w:szCs w:val="24"/>
              </w:rPr>
              <w:t>2</w:t>
            </w:r>
          </w:p>
        </w:tc>
        <w:tc>
          <w:tcPr>
            <w:tcW w:w="76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HAnsi" w:hAnsiTheme="minorHAnsi" w:eastAsiaTheme="minorEastAsia" w:cstheme="minorBidi"/>
                <w:kern w:val="0"/>
                <w:sz w:val="24"/>
                <w:szCs w:val="24"/>
                <w:lang w:val="en-US" w:eastAsia="zh-CN" w:bidi="ar"/>
              </w:rPr>
            </w:pPr>
            <w:r>
              <w:rPr>
                <w:rFonts w:hint="eastAsia" w:ascii="宋体" w:hAnsi="宋体" w:eastAsia="宋体" w:cs="宋体"/>
                <w:sz w:val="24"/>
                <w:szCs w:val="24"/>
              </w:rPr>
              <w:t>监测系统</w:t>
            </w: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HAnsi" w:hAnsiTheme="minorHAnsi" w:eastAsiaTheme="minorEastAsia" w:cstheme="minorBidi"/>
                <w:kern w:val="0"/>
                <w:sz w:val="24"/>
                <w:szCs w:val="24"/>
                <w:lang w:val="en-US" w:eastAsia="zh-CN" w:bidi="ar"/>
              </w:rPr>
            </w:pPr>
            <w:r>
              <w:rPr>
                <w:rFonts w:hint="eastAsia" w:ascii="宋体" w:hAnsi="宋体" w:eastAsia="宋体" w:cs="宋体"/>
                <w:sz w:val="24"/>
                <w:szCs w:val="24"/>
              </w:rPr>
              <w:t>频率准确度</w:t>
            </w:r>
          </w:p>
        </w:tc>
        <w:tc>
          <w:tcPr>
            <w:tcW w:w="2421" w:type="pct"/>
            <w:vMerge w:val="restart"/>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r>
              <w:rPr>
                <w:rFonts w:hint="eastAsia" w:ascii="宋体" w:hAnsi="宋体" w:eastAsia="宋体" w:cs="宋体"/>
                <w:sz w:val="24"/>
                <w:szCs w:val="24"/>
              </w:rPr>
              <w:t>检查设备测量接收精度在设备的工作范围内，确保其工作正常。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4" w:type="pct"/>
            <w:vMerge w:val="continue"/>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HAnsi" w:hAnsiTheme="minorHAnsi" w:eastAsiaTheme="minorEastAsia" w:cstheme="minorBidi"/>
                <w:kern w:val="0"/>
                <w:sz w:val="24"/>
                <w:szCs w:val="24"/>
                <w:lang w:val="en-US" w:eastAsia="zh-CN" w:bidi="ar"/>
              </w:rPr>
            </w:pPr>
          </w:p>
        </w:tc>
        <w:tc>
          <w:tcPr>
            <w:tcW w:w="761" w:type="pct"/>
            <w:vMerge w:val="continue"/>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HAnsi" w:hAnsiTheme="minorHAnsi" w:eastAsiaTheme="minorEastAsia" w:cstheme="minorBidi"/>
                <w:kern w:val="0"/>
                <w:sz w:val="24"/>
                <w:szCs w:val="24"/>
                <w:lang w:val="en-US" w:eastAsia="zh-CN" w:bidi="ar"/>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HAnsi" w:hAnsiTheme="minorHAnsi" w:eastAsiaTheme="minorEastAsia" w:cstheme="minorBidi"/>
                <w:kern w:val="0"/>
                <w:sz w:val="24"/>
                <w:szCs w:val="24"/>
                <w:lang w:val="en-US" w:eastAsia="zh-CN" w:bidi="ar"/>
              </w:rPr>
            </w:pPr>
            <w:r>
              <w:rPr>
                <w:rFonts w:hint="eastAsia" w:ascii="宋体" w:hAnsi="宋体" w:eastAsia="宋体" w:cs="宋体"/>
                <w:sz w:val="24"/>
                <w:szCs w:val="24"/>
              </w:rPr>
              <w:t>扫描速度</w:t>
            </w:r>
          </w:p>
        </w:tc>
        <w:tc>
          <w:tcPr>
            <w:tcW w:w="242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4" w:type="pct"/>
            <w:vMerge w:val="continue"/>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HAnsi" w:hAnsiTheme="minorHAnsi" w:eastAsiaTheme="minorEastAsia" w:cstheme="minorBidi"/>
                <w:kern w:val="0"/>
                <w:sz w:val="24"/>
                <w:szCs w:val="24"/>
                <w:lang w:val="en-US" w:eastAsia="zh-CN" w:bidi="ar"/>
              </w:rPr>
            </w:pPr>
          </w:p>
        </w:tc>
        <w:tc>
          <w:tcPr>
            <w:tcW w:w="761" w:type="pct"/>
            <w:vMerge w:val="continue"/>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HAnsi" w:hAnsiTheme="minorHAnsi" w:eastAsiaTheme="minorEastAsia" w:cstheme="minorBidi"/>
                <w:kern w:val="0"/>
                <w:sz w:val="24"/>
                <w:szCs w:val="24"/>
                <w:lang w:val="en-US" w:eastAsia="zh-CN" w:bidi="ar"/>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HAnsi" w:hAnsiTheme="minorHAnsi" w:eastAsiaTheme="minorEastAsia" w:cstheme="minorBidi"/>
                <w:kern w:val="0"/>
                <w:sz w:val="24"/>
                <w:szCs w:val="24"/>
                <w:lang w:val="en-US" w:eastAsia="zh-CN" w:bidi="ar"/>
              </w:rPr>
            </w:pPr>
            <w:r>
              <w:rPr>
                <w:rFonts w:hint="eastAsia" w:ascii="宋体" w:hAnsi="宋体" w:eastAsia="宋体" w:cs="宋体"/>
                <w:sz w:val="24"/>
                <w:szCs w:val="24"/>
              </w:rPr>
              <w:t>电平测量误差</w:t>
            </w:r>
          </w:p>
        </w:tc>
        <w:tc>
          <w:tcPr>
            <w:tcW w:w="242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HAnsi" w:hAnsiTheme="minorHAnsi" w:eastAsiaTheme="minorEastAsia" w:cstheme="minorBidi"/>
                <w:kern w:val="0"/>
                <w:sz w:val="24"/>
                <w:szCs w:val="24"/>
                <w:lang w:val="en-US" w:eastAsia="zh-CN" w:bidi="ar"/>
              </w:rPr>
            </w:pPr>
          </w:p>
        </w:tc>
        <w:tc>
          <w:tcPr>
            <w:tcW w:w="761" w:type="pct"/>
            <w:vMerge w:val="continue"/>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HAnsi" w:hAnsiTheme="minorHAnsi" w:eastAsiaTheme="minorEastAsia" w:cstheme="minorBidi"/>
                <w:kern w:val="0"/>
                <w:sz w:val="24"/>
                <w:szCs w:val="24"/>
                <w:lang w:val="en-US" w:eastAsia="zh-CN" w:bidi="ar"/>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设备外观</w:t>
            </w:r>
          </w:p>
        </w:tc>
        <w:tc>
          <w:tcPr>
            <w:tcW w:w="242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检查设备硬件部分，确定设备自身工作状态的稳 定性，确定设备工作面板按键对设备操作时是否能够响应操作。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设备开关机</w:t>
            </w:r>
          </w:p>
        </w:tc>
        <w:tc>
          <w:tcPr>
            <w:tcW w:w="242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屏幕显示</w:t>
            </w:r>
          </w:p>
        </w:tc>
        <w:tc>
          <w:tcPr>
            <w:tcW w:w="242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按键操作</w:t>
            </w:r>
          </w:p>
        </w:tc>
        <w:tc>
          <w:tcPr>
            <w:tcW w:w="242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接收机自检</w:t>
            </w:r>
          </w:p>
        </w:tc>
        <w:tc>
          <w:tcPr>
            <w:tcW w:w="242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设备地线连接检查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检查设备自身的防雷接地处理情况。避免在雷雨季节由于感应雷所造成的设备故障。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单频测量</w:t>
            </w:r>
          </w:p>
        </w:tc>
        <w:tc>
          <w:tcPr>
            <w:tcW w:w="242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检查设备通过软件的控制过程，是否存在软件无法进行数据响应交换。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频段扫描</w:t>
            </w:r>
          </w:p>
        </w:tc>
        <w:tc>
          <w:tcPr>
            <w:tcW w:w="242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离散扫描</w:t>
            </w:r>
          </w:p>
        </w:tc>
        <w:tc>
          <w:tcPr>
            <w:tcW w:w="242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设备除尘</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检查设备自身工作环境，对设备工作有影响的因素进行解决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HAnsi" w:hAnsiTheme="minorHAnsi" w:eastAsiaTheme="minorEastAsia" w:cstheme="minorBidi"/>
                <w:kern w:val="0"/>
                <w:sz w:val="24"/>
                <w:szCs w:val="24"/>
                <w:lang w:val="en-US" w:eastAsia="zh-CN" w:bidi="ar"/>
              </w:rPr>
            </w:pPr>
            <w:r>
              <w:rPr>
                <w:rFonts w:hint="eastAsia" w:ascii="宋体" w:hAnsi="宋体" w:eastAsia="宋体" w:cs="宋体"/>
                <w:sz w:val="24"/>
                <w:szCs w:val="24"/>
              </w:rPr>
              <w:t>3</w:t>
            </w:r>
          </w:p>
        </w:tc>
        <w:tc>
          <w:tcPr>
            <w:tcW w:w="76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HAnsi" w:hAnsiTheme="minorHAnsi" w:eastAsiaTheme="minorEastAsia" w:cstheme="minorBidi"/>
                <w:kern w:val="0"/>
                <w:sz w:val="24"/>
                <w:szCs w:val="24"/>
                <w:lang w:val="en-US" w:eastAsia="zh-CN" w:bidi="ar"/>
              </w:rPr>
            </w:pPr>
            <w:r>
              <w:rPr>
                <w:rFonts w:hint="eastAsia" w:ascii="宋体" w:hAnsi="宋体" w:eastAsia="宋体" w:cs="宋体"/>
                <w:sz w:val="24"/>
                <w:szCs w:val="24"/>
              </w:rPr>
              <w:t>测向系统</w:t>
            </w: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测向精度</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rPr>
            </w:pPr>
            <w:r>
              <w:rPr>
                <w:rFonts w:hint="eastAsia" w:ascii="宋体" w:hAnsi="宋体" w:eastAsia="宋体" w:cs="宋体"/>
                <w:sz w:val="24"/>
                <w:szCs w:val="24"/>
              </w:rPr>
              <w:t>检查测向机的测向等功能是否正常且测向准确。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HAnsi" w:hAnsiTheme="minorHAnsi" w:eastAsiaTheme="minorEastAsia" w:cstheme="minorBidi"/>
                <w:kern w:val="0"/>
                <w:sz w:val="24"/>
                <w:szCs w:val="24"/>
                <w:lang w:val="en-US" w:eastAsia="zh-CN" w:bidi="ar"/>
              </w:rPr>
            </w:pPr>
          </w:p>
        </w:tc>
        <w:tc>
          <w:tcPr>
            <w:tcW w:w="761" w:type="pct"/>
            <w:vMerge w:val="continue"/>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HAnsi" w:hAnsiTheme="minorHAnsi" w:eastAsiaTheme="minorEastAsia" w:cstheme="minorBidi"/>
                <w:kern w:val="0"/>
                <w:sz w:val="24"/>
                <w:szCs w:val="24"/>
                <w:lang w:val="en-US" w:eastAsia="zh-CN" w:bidi="ar"/>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信标台站测试</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检查测向机的测向等功能是否正常且测向准确。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设备外观</w:t>
            </w:r>
          </w:p>
        </w:tc>
        <w:tc>
          <w:tcPr>
            <w:tcW w:w="242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检查设备硬件部分，确定设备自身工作状态的稳 定性，确定设备工作面板按键对设备操作时是否能够响应操作。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设备开关机</w:t>
            </w:r>
          </w:p>
        </w:tc>
        <w:tc>
          <w:tcPr>
            <w:tcW w:w="242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屏幕显示</w:t>
            </w:r>
          </w:p>
        </w:tc>
        <w:tc>
          <w:tcPr>
            <w:tcW w:w="242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按键操作</w:t>
            </w:r>
          </w:p>
        </w:tc>
        <w:tc>
          <w:tcPr>
            <w:tcW w:w="242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测向机自检</w:t>
            </w:r>
          </w:p>
        </w:tc>
        <w:tc>
          <w:tcPr>
            <w:tcW w:w="242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设备地线连接检查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检查设备自身的防雷接地处理情况，避免在雷雨季节由于感应雷所造成的设备故障。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设备除尘</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检查设备自身工作环境，对设备工作有影响的因素进行解决（例如：散热或灰尘所引起的设备工作异常）。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384"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4</w:t>
            </w:r>
          </w:p>
        </w:tc>
        <w:tc>
          <w:tcPr>
            <w:tcW w:w="76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监测测向软件</w:t>
            </w:r>
          </w:p>
        </w:tc>
        <w:tc>
          <w:tcPr>
            <w:tcW w:w="143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启动监测测向软件检查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检查服务端初始化是否正常，有无报错信息。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检查服务端的设备、天线及网络配置检查。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检查测试程序、系统软件控制等是否正常。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检查客户端是否正常连接，配置信息是否正确。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信号扫描检查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检查天线频段扫描功能是否正常，扫描信号电平是否正常。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检查多段扫描功能是否正常。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检查FSCAN、PSCAN、MSCAN扫描功能是否正常。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单频测量检查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对频率、滤波带宽、频谱带宽等各参数进行设置，并测量，检查测量结果是否正常。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检查声音解调是否正常。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示向度测量检查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设置不同频率、参数进行示向度测量，并检查测量结果是否正常。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结合电子地图进行示向度测量显示。（若有）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电子地图检查（若有）</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检查地图是否正确打开，台站图标是否定位正确。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检查图层是否显示正确、地图工具按钮功能是否正常。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highlight w:val="none"/>
              </w:rPr>
            </w:pPr>
            <w:r>
              <w:rPr>
                <w:rFonts w:hint="eastAsia" w:ascii="宋体" w:hAnsi="宋体" w:eastAsia="宋体" w:cs="宋体"/>
                <w:sz w:val="24"/>
                <w:szCs w:val="24"/>
                <w:highlight w:val="none"/>
              </w:rPr>
              <w:t>数据记录及管理检查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highlight w:val="none"/>
              </w:rPr>
            </w:pPr>
            <w:r>
              <w:rPr>
                <w:rFonts w:hint="eastAsia" w:ascii="宋体" w:hAnsi="宋体" w:eastAsia="宋体" w:cs="宋体"/>
                <w:sz w:val="24"/>
                <w:szCs w:val="24"/>
                <w:highlight w:val="none"/>
              </w:rPr>
              <w:t>检查测量数据的记录、查询回放功能测试。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highlight w:val="none"/>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highlight w:val="none"/>
              </w:rPr>
            </w:pPr>
            <w:r>
              <w:rPr>
                <w:rFonts w:hint="eastAsia" w:ascii="宋体" w:hAnsi="宋体" w:eastAsia="宋体" w:cs="宋体"/>
                <w:sz w:val="24"/>
                <w:szCs w:val="24"/>
                <w:highlight w:val="none"/>
              </w:rPr>
              <w:t>信号录音功能测试。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highlight w:val="none"/>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highlight w:val="none"/>
              </w:rPr>
            </w:pPr>
            <w:r>
              <w:rPr>
                <w:rFonts w:hint="eastAsia" w:ascii="宋体" w:hAnsi="宋体" w:eastAsia="宋体" w:cs="宋体"/>
                <w:sz w:val="24"/>
                <w:szCs w:val="24"/>
                <w:highlight w:val="none"/>
              </w:rPr>
              <w:t>监测数据存储功能检查。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highlight w:val="none"/>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highlight w:val="none"/>
              </w:rPr>
            </w:pPr>
            <w:r>
              <w:rPr>
                <w:rFonts w:hint="eastAsia" w:ascii="宋体" w:hAnsi="宋体" w:eastAsia="宋体" w:cs="宋体"/>
                <w:sz w:val="24"/>
                <w:szCs w:val="24"/>
                <w:highlight w:val="none"/>
              </w:rPr>
              <w:t>月报功能检查。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5</w:t>
            </w:r>
          </w:p>
        </w:tc>
        <w:tc>
          <w:tcPr>
            <w:tcW w:w="76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控制系统</w:t>
            </w: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控制电脑硬件、操作系统检查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控制电脑硬件、外观和操作系统正常。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系统安全检查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对系统进行安全测试，对其存在的安全漏洞进行修补，防止病毒的侵入。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软件检查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确定控制系统内部软件工作是否正常，若异常及时对其进行故障判断解决。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系统备份检查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对系统进行备份，以便在发生灾难性故障时能够及时有效的恢复系统。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6</w:t>
            </w:r>
          </w:p>
        </w:tc>
        <w:tc>
          <w:tcPr>
            <w:tcW w:w="76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网络系统</w:t>
            </w: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路由器硬件检查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检查路由器硬件，根据具体的硬件环境确定其工作状态。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路由器连通性、安全性检查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对路由器进行网络联通性和安全测试，发现并对所发现的安全漏洞进行处理。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交换机硬件检查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对交换机进行硬件检查，确定其工作状态，及时发现并解决出现的硬件故障。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交换机连通性检查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对交换机进行数据包交换测试，确定其各端口数据交换的联通性。由计算机端向交换机及其他联网设备发送测试数据包20个，查看是否丢包，返回时间是否小于50ms。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7</w:t>
            </w:r>
          </w:p>
        </w:tc>
        <w:tc>
          <w:tcPr>
            <w:tcW w:w="76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电源系统</w:t>
            </w: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稳压电源检查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稳压电源状态指示灯显示正确，输出电压稳定。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电池状态检查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蓄电池是否能正常进行充、放电。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蓄电池连接处有无松动、腐蚀现象。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蓄电池外观是否完好、无外壳变形和渗漏。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蓄电池的极柱、安全阀周围是否有酸雾溢出。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UPS外观检查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UPS状态切换正常，状态指示灯显示正确。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UPS功能检查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用电源管理和诊断软件检测UPS运行正常、参数设置正确。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供电电压测量</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分别测量市电电压，稳压电源输出电压、UPS输入输出电压、蓄电池组电压，必要时测量蓄电池单体电压。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8</w:t>
            </w:r>
          </w:p>
        </w:tc>
        <w:tc>
          <w:tcPr>
            <w:tcW w:w="76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设备连接</w:t>
            </w: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电源连接线检查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设备电源连接线连接固定正常。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数据连接线检查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设备数据连接线连接固定正常。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射频线检查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天馈射频连接线连接固定正常。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控制线检查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天馈控制连接线连接固定正常。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 w:hRule="atLeast"/>
        </w:trPr>
        <w:tc>
          <w:tcPr>
            <w:tcW w:w="384"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9</w:t>
            </w:r>
          </w:p>
        </w:tc>
        <w:tc>
          <w:tcPr>
            <w:tcW w:w="76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遥控系统</w:t>
            </w:r>
          </w:p>
        </w:tc>
        <w:tc>
          <w:tcPr>
            <w:tcW w:w="143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遥控系统检查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设备基本状态检查。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设备本地开关机测试。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设备远程唤醒、关机测试。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10</w:t>
            </w:r>
          </w:p>
        </w:tc>
        <w:tc>
          <w:tcPr>
            <w:tcW w:w="76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视频图像监视系统</w:t>
            </w: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视频服务器功能检查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设备基本状态检查。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摄像机&amp;云台功能检查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设备基本状态检查。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检查设备供电是否为长供电（UPS供电）。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监控图像测试（截图）。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宋体"/>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76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防雷接地系统</w:t>
            </w:r>
          </w:p>
        </w:tc>
        <w:tc>
          <w:tcPr>
            <w:tcW w:w="143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机房、 供电、 设备、网络、 天线、 铁塔的防雷接地检测</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馈线防雷器性能是否良好，芯线未断路。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防雷器外壳未击穿短路接地，无跳火现象。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防雷器接地引线连接可靠，线径大小符合规定要求。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highlight w:val="none"/>
              </w:rPr>
              <w:t>防雷器接地电阻≤4Ω。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防雷是否符合要求及避雷针与引下线是否符合规定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384"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宋体"/>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p>
        </w:tc>
        <w:tc>
          <w:tcPr>
            <w:tcW w:w="76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highlight w:val="none"/>
              </w:rPr>
            </w:pPr>
            <w:r>
              <w:rPr>
                <w:rFonts w:hint="eastAsia" w:ascii="宋体" w:hAnsi="宋体" w:eastAsia="宋体" w:cs="宋体"/>
                <w:sz w:val="24"/>
                <w:szCs w:val="24"/>
                <w:highlight w:val="none"/>
              </w:rPr>
              <w:t>铁塔及支架</w:t>
            </w:r>
          </w:p>
        </w:tc>
        <w:tc>
          <w:tcPr>
            <w:tcW w:w="143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highlight w:val="none"/>
              </w:rPr>
            </w:pPr>
            <w:r>
              <w:rPr>
                <w:rFonts w:hint="eastAsia" w:ascii="宋体" w:hAnsi="宋体" w:eastAsia="宋体" w:cs="宋体"/>
                <w:sz w:val="24"/>
                <w:szCs w:val="24"/>
                <w:highlight w:val="none"/>
              </w:rPr>
              <w:t>铁塔及支架检查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highlight w:val="none"/>
              </w:rPr>
            </w:pPr>
            <w:r>
              <w:rPr>
                <w:rFonts w:hint="eastAsia" w:ascii="宋体" w:hAnsi="宋体" w:eastAsia="宋体" w:cs="宋体"/>
                <w:sz w:val="24"/>
                <w:szCs w:val="24"/>
                <w:highlight w:val="none"/>
              </w:rPr>
              <w:t>铁塔基础数据和垂直度测量检查。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highlight w:val="none"/>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highlight w:val="none"/>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highlight w:val="none"/>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highlight w:val="none"/>
              </w:rPr>
            </w:pPr>
            <w:r>
              <w:rPr>
                <w:rFonts w:hint="eastAsia" w:ascii="宋体" w:hAnsi="宋体" w:eastAsia="宋体" w:cs="宋体"/>
                <w:sz w:val="24"/>
                <w:szCs w:val="24"/>
                <w:highlight w:val="none"/>
              </w:rPr>
              <w:t>镀锌、螺栓、平台、构件、天线支架支臂、爬梯是否发生生锈松动或腐蚀情况检查。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周边环境杂物清理。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trPr>
        <w:tc>
          <w:tcPr>
            <w:tcW w:w="384"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宋体"/>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76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环境监控系统</w:t>
            </w: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门窗防盗检查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检查门窗是否完好，每次出入机房按规定关好门窗。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温湿度检查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检查机房内温度湿度计正常工作，指标正常。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消防检查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检查消防器材是否在检查时间范围内，检查室外消火栓系统、防排烟设施和灭火设施是否正常工作。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监控检查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检查监控是否正常工作，摄像头位置是否正常，影像存储是否正常。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空调检查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检查空调是否正常工作。空调风机、过滤网清洗，管道检查，温度设定。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传感器检查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红外线人体移动、门磁、烟感等传感器是否能够产生报警信息。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机房检查</w:t>
            </w: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检查机柜安全可靠牢固，检查机柜散热风扇运行情况正常。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对设备进行除尘，对机柜进行清洁维护。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对机房环境卫生进行打扫，机柜内线缆连接检查整理，机房外围安全检查和机房防水检查，移除杂物和易燃易爆物品，砍青修枝，排除隐患。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机房墙体、屋顶是否存在漏水、渗水和裂缝；机房门、馈线窗、空调孔、排气孔是否封堵严密。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现场记录温湿度情况，与监控设备显示值进行比对。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384"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6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431"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421"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检查照明设备是否正常 。</w:t>
            </w:r>
          </w:p>
        </w:tc>
      </w:tr>
    </w:tbl>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outlineLvl w:val="5"/>
        <w:rPr>
          <w:rFonts w:hint="eastAsia" w:ascii="宋体" w:hAnsi="宋体" w:eastAsia="宋体" w:cs="宋体"/>
          <w:sz w:val="24"/>
          <w:szCs w:val="24"/>
        </w:rPr>
      </w:pPr>
      <w:r>
        <w:rPr>
          <w:rFonts w:hint="eastAsia" w:ascii="宋体" w:hAnsi="宋体" w:eastAsia="宋体" w:cs="宋体"/>
          <w:sz w:val="24"/>
          <w:szCs w:val="24"/>
        </w:rPr>
        <w:t>（2）移动监测站</w:t>
      </w:r>
    </w:p>
    <w:tbl>
      <w:tblPr>
        <w:tblStyle w:val="1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02"/>
        <w:gridCol w:w="1312"/>
        <w:gridCol w:w="2174"/>
        <w:gridCol w:w="4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c>
          <w:tcPr>
            <w:tcW w:w="362"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序号</w:t>
            </w:r>
          </w:p>
        </w:tc>
        <w:tc>
          <w:tcPr>
            <w:tcW w:w="789"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巡检设备</w:t>
            </w: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巡检项目</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巡检要求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362"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1</w:t>
            </w:r>
          </w:p>
        </w:tc>
        <w:tc>
          <w:tcPr>
            <w:tcW w:w="789"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天馈系统</w:t>
            </w: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监测功能</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检查监测天线在其工作范围的工作状态，确保能够实时准确的捕捉到天线所处空间的电波信号。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362" w:type="pct"/>
            <w:vMerge w:val="continue"/>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89" w:type="pct"/>
            <w:vMerge w:val="continue"/>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rPr>
            </w:pPr>
            <w:r>
              <w:rPr>
                <w:rFonts w:hint="eastAsia" w:ascii="宋体" w:hAnsi="宋体" w:eastAsia="宋体" w:cs="宋体"/>
                <w:sz w:val="24"/>
                <w:szCs w:val="24"/>
              </w:rPr>
              <w:t>天线阵单元检查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rPr>
            </w:pPr>
            <w:r>
              <w:rPr>
                <w:rFonts w:hint="eastAsia" w:ascii="宋体" w:hAnsi="宋体" w:eastAsia="宋体" w:cs="宋体"/>
                <w:sz w:val="24"/>
                <w:szCs w:val="24"/>
              </w:rPr>
              <w:t>检查测向天线各阵子工作是否正常。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天线外观检查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检查天线自身，确保天线外部无损伤。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GPS天线、电子罗盘检查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GPS天线、电子罗盘功能正常。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馈线、控制线接头检查</w:t>
            </w:r>
          </w:p>
        </w:tc>
        <w:tc>
          <w:tcPr>
            <w:tcW w:w="2540"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检查馈线、控制线接头是否存在裸露或氧化情况。及时有效的做好防水处理。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防水情况检查</w:t>
            </w:r>
          </w:p>
        </w:tc>
        <w:tc>
          <w:tcPr>
            <w:tcW w:w="2540"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2"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HAnsi" w:hAnsiTheme="minorHAnsi" w:eastAsiaTheme="minorEastAsia" w:cstheme="minorBidi"/>
                <w:kern w:val="0"/>
                <w:sz w:val="24"/>
                <w:szCs w:val="24"/>
                <w:lang w:val="en-US" w:eastAsia="zh-CN" w:bidi="ar"/>
              </w:rPr>
            </w:pPr>
            <w:r>
              <w:rPr>
                <w:rFonts w:hint="eastAsia" w:ascii="宋体" w:hAnsi="宋体" w:eastAsia="宋体" w:cs="宋体"/>
                <w:sz w:val="24"/>
                <w:szCs w:val="24"/>
              </w:rPr>
              <w:t>2</w:t>
            </w:r>
          </w:p>
        </w:tc>
        <w:tc>
          <w:tcPr>
            <w:tcW w:w="789"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HAnsi" w:hAnsiTheme="minorHAnsi" w:eastAsiaTheme="minorEastAsia" w:cstheme="minorBidi"/>
                <w:kern w:val="0"/>
                <w:sz w:val="24"/>
                <w:szCs w:val="24"/>
                <w:lang w:val="en-US" w:eastAsia="zh-CN" w:bidi="ar"/>
              </w:rPr>
            </w:pPr>
            <w:r>
              <w:rPr>
                <w:rFonts w:hint="eastAsia" w:ascii="宋体" w:hAnsi="宋体" w:eastAsia="宋体" w:cs="宋体"/>
                <w:sz w:val="24"/>
                <w:szCs w:val="24"/>
              </w:rPr>
              <w:t>监测系统</w:t>
            </w: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rPr>
            </w:pPr>
            <w:r>
              <w:rPr>
                <w:rFonts w:hint="eastAsia" w:ascii="宋体" w:hAnsi="宋体" w:eastAsia="宋体" w:cs="宋体"/>
                <w:sz w:val="24"/>
                <w:szCs w:val="24"/>
              </w:rPr>
              <w:t>频率准确度</w:t>
            </w:r>
          </w:p>
        </w:tc>
        <w:tc>
          <w:tcPr>
            <w:tcW w:w="2540" w:type="pct"/>
            <w:vMerge w:val="restart"/>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r>
              <w:rPr>
                <w:rFonts w:hint="eastAsia" w:ascii="宋体" w:hAnsi="宋体" w:eastAsia="宋体" w:cs="宋体"/>
                <w:sz w:val="24"/>
                <w:szCs w:val="24"/>
              </w:rPr>
              <w:t>检查设备测量接收精度在设备的工作范围内，参考设备厂家出场的设备性能指标对设备进行参 考性测试，确保其工作正常。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rPr>
            </w:pPr>
            <w:r>
              <w:rPr>
                <w:rFonts w:hint="eastAsia" w:ascii="宋体" w:hAnsi="宋体" w:eastAsia="宋体" w:cs="宋体"/>
                <w:sz w:val="24"/>
                <w:szCs w:val="24"/>
              </w:rPr>
              <w:t>扫描速度</w:t>
            </w:r>
          </w:p>
        </w:tc>
        <w:tc>
          <w:tcPr>
            <w:tcW w:w="2540"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rPr>
            </w:pPr>
            <w:r>
              <w:rPr>
                <w:rFonts w:hint="eastAsia" w:ascii="宋体" w:hAnsi="宋体" w:eastAsia="宋体" w:cs="宋体"/>
                <w:sz w:val="24"/>
                <w:szCs w:val="24"/>
              </w:rPr>
              <w:t>电平测量误差</w:t>
            </w:r>
          </w:p>
        </w:tc>
        <w:tc>
          <w:tcPr>
            <w:tcW w:w="2540"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HAnsi" w:hAnsiTheme="minorHAnsi" w:eastAsiaTheme="minorEastAsia" w:cstheme="minorBidi"/>
                <w:kern w:val="0"/>
                <w:sz w:val="24"/>
                <w:szCs w:val="24"/>
                <w:lang w:val="en-US" w:eastAsia="zh-CN" w:bidi="ar"/>
              </w:rPr>
            </w:pPr>
          </w:p>
        </w:tc>
        <w:tc>
          <w:tcPr>
            <w:tcW w:w="789" w:type="pct"/>
            <w:vMerge w:val="continue"/>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HAnsi" w:hAnsiTheme="minorHAnsi" w:eastAsiaTheme="minorEastAsia" w:cstheme="minorBidi"/>
                <w:kern w:val="0"/>
                <w:sz w:val="24"/>
                <w:szCs w:val="24"/>
                <w:lang w:val="en-US" w:eastAsia="zh-CN" w:bidi="ar"/>
              </w:rPr>
            </w:pPr>
          </w:p>
        </w:tc>
        <w:tc>
          <w:tcPr>
            <w:tcW w:w="1307" w:type="pct"/>
            <w:tcBorders>
              <w:top w:val="single" w:color="auto" w:sz="4" w:space="0"/>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设备外观</w:t>
            </w:r>
          </w:p>
        </w:tc>
        <w:tc>
          <w:tcPr>
            <w:tcW w:w="2540"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检查设备硬件部分，确定设备自身工作状态的稳 定性，确定设备工作面板按键对设备操作时是否能够响应操作。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设备开关机</w:t>
            </w:r>
          </w:p>
        </w:tc>
        <w:tc>
          <w:tcPr>
            <w:tcW w:w="2540"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屏幕显示</w:t>
            </w:r>
          </w:p>
        </w:tc>
        <w:tc>
          <w:tcPr>
            <w:tcW w:w="2540"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按键操作</w:t>
            </w:r>
          </w:p>
        </w:tc>
        <w:tc>
          <w:tcPr>
            <w:tcW w:w="2540"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接收机自检</w:t>
            </w:r>
          </w:p>
        </w:tc>
        <w:tc>
          <w:tcPr>
            <w:tcW w:w="2540"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设备地线连接检查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检查设备自身的防雷接地处理情况。避免在雷雨季节由于感应雷所造成的设备故障。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单频测量</w:t>
            </w:r>
          </w:p>
        </w:tc>
        <w:tc>
          <w:tcPr>
            <w:tcW w:w="2540"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检查设备通过软件的控制过程，是否存在软件无法进行数据响应交换。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频段扫描</w:t>
            </w:r>
          </w:p>
        </w:tc>
        <w:tc>
          <w:tcPr>
            <w:tcW w:w="2540"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离散扫描</w:t>
            </w:r>
          </w:p>
        </w:tc>
        <w:tc>
          <w:tcPr>
            <w:tcW w:w="2540"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设备除尘</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检查设备自身工作环境，对设备工作有影响的因素进行解决（例如：散热或灰尘所引起的设备工作异常）。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2" w:type="pct"/>
            <w:vMerge w:val="restart"/>
            <w:tcBorders>
              <w:top w:val="single" w:color="auto" w:sz="4" w:space="0"/>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HAnsi" w:hAnsiTheme="minorHAnsi" w:eastAsiaTheme="minorEastAsia" w:cstheme="minorBidi"/>
                <w:kern w:val="0"/>
                <w:sz w:val="24"/>
                <w:szCs w:val="24"/>
                <w:lang w:val="en-US" w:eastAsia="zh-CN" w:bidi="ar"/>
              </w:rPr>
            </w:pPr>
            <w:r>
              <w:rPr>
                <w:rFonts w:hint="eastAsia" w:ascii="宋体" w:hAnsi="宋体" w:eastAsia="宋体" w:cs="宋体"/>
                <w:sz w:val="24"/>
                <w:szCs w:val="24"/>
              </w:rPr>
              <w:t>3</w:t>
            </w:r>
          </w:p>
        </w:tc>
        <w:tc>
          <w:tcPr>
            <w:tcW w:w="789" w:type="pct"/>
            <w:vMerge w:val="restart"/>
            <w:tcBorders>
              <w:top w:val="single" w:color="auto" w:sz="4" w:space="0"/>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HAnsi" w:hAnsiTheme="minorHAnsi" w:eastAsiaTheme="minorEastAsia" w:cstheme="minorBidi"/>
                <w:kern w:val="0"/>
                <w:sz w:val="24"/>
                <w:szCs w:val="24"/>
                <w:lang w:val="en-US" w:eastAsia="zh-CN" w:bidi="ar"/>
              </w:rPr>
            </w:pPr>
            <w:r>
              <w:rPr>
                <w:rFonts w:hint="eastAsia" w:ascii="宋体" w:hAnsi="宋体" w:eastAsia="宋体" w:cs="宋体"/>
                <w:sz w:val="24"/>
                <w:szCs w:val="24"/>
              </w:rPr>
              <w:t>测向系统</w:t>
            </w:r>
          </w:p>
        </w:tc>
        <w:tc>
          <w:tcPr>
            <w:tcW w:w="1307" w:type="pct"/>
            <w:tcBorders>
              <w:top w:val="single" w:color="auto" w:sz="4" w:space="0"/>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信标台站测试</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检查测向机的测向等功能是否正常且测向准确。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设备外观</w:t>
            </w:r>
          </w:p>
        </w:tc>
        <w:tc>
          <w:tcPr>
            <w:tcW w:w="2540"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检查设备硬件部分，确定设备自身工作状态的稳 定性，确定设备工作面板按键对设备操作时是否能够响应操作。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设备开关机</w:t>
            </w:r>
          </w:p>
        </w:tc>
        <w:tc>
          <w:tcPr>
            <w:tcW w:w="2540"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屏幕显示</w:t>
            </w:r>
          </w:p>
        </w:tc>
        <w:tc>
          <w:tcPr>
            <w:tcW w:w="2540"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按键操作</w:t>
            </w:r>
          </w:p>
        </w:tc>
        <w:tc>
          <w:tcPr>
            <w:tcW w:w="2540"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测向机自检</w:t>
            </w:r>
          </w:p>
        </w:tc>
        <w:tc>
          <w:tcPr>
            <w:tcW w:w="2540"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设备地线连接检查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检查设备自身的防雷接地处理情况。避免在雷雨季节由于感应雷所造成的设备故障。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设备除尘</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检查设备自身工作环境，对设备工作有影响的因素进行解决。（例如：散热或灰尘所引起的设备工作异常）。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62"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4</w:t>
            </w:r>
          </w:p>
        </w:tc>
        <w:tc>
          <w:tcPr>
            <w:tcW w:w="789"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监测测向软件</w:t>
            </w:r>
          </w:p>
        </w:tc>
        <w:tc>
          <w:tcPr>
            <w:tcW w:w="1307"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启动监测测向软件检查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检查服务端初始化是否正常，有无报错信息。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检查服务端的设备、天线及网络配置检查。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检查测试程序、系统软件控制等是否正常。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检查客户端是否正常连接，配置信息是否正确。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信号扫描检查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检查天线频段扫描功能是否正常，扫描信号电平是否正常。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检查多段扫描功能是否正常。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检查FSCAN、PSCAN、MSCAN扫描功能是否正常。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单频测量检查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对频率、滤波带宽、频谱带宽等各参数进行设置，并测量，检查测量结果是否正常。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检查声音解调是否正常。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示向度测量检查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设置不同频率、参数进行示向度测量，并检查测量结果是否正常。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结合电子地图进行示向度测量显示。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电子地图检查（若有）</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检查地图是否正确打开，台站图标是否定位正确。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检查图层是否显示正确、地图工具按钮功能是否正常。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highlight w:val="none"/>
              </w:rPr>
            </w:pPr>
            <w:r>
              <w:rPr>
                <w:rFonts w:hint="eastAsia" w:ascii="宋体" w:hAnsi="宋体" w:eastAsia="宋体" w:cs="宋体"/>
                <w:sz w:val="24"/>
                <w:szCs w:val="24"/>
                <w:highlight w:val="none"/>
              </w:rPr>
              <w:t>数据记录及管理检查（若有）</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highlight w:val="none"/>
              </w:rPr>
            </w:pPr>
            <w:r>
              <w:rPr>
                <w:rFonts w:hint="eastAsia" w:ascii="宋体" w:hAnsi="宋体" w:eastAsia="宋体" w:cs="宋体"/>
                <w:sz w:val="24"/>
                <w:szCs w:val="24"/>
                <w:highlight w:val="none"/>
              </w:rPr>
              <w:t>检查测量数据的记录、查询回放功能测试。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highlight w:val="none"/>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highlight w:val="none"/>
              </w:rPr>
            </w:pPr>
            <w:r>
              <w:rPr>
                <w:rFonts w:hint="eastAsia" w:ascii="宋体" w:hAnsi="宋体" w:eastAsia="宋体" w:cs="宋体"/>
                <w:sz w:val="24"/>
                <w:szCs w:val="24"/>
                <w:highlight w:val="none"/>
              </w:rPr>
              <w:t>信号录音功能测试。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highlight w:val="none"/>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highlight w:val="none"/>
              </w:rPr>
            </w:pPr>
            <w:r>
              <w:rPr>
                <w:rFonts w:hint="eastAsia" w:ascii="宋体" w:hAnsi="宋体" w:eastAsia="宋体" w:cs="宋体"/>
                <w:sz w:val="24"/>
                <w:szCs w:val="24"/>
                <w:highlight w:val="none"/>
              </w:rPr>
              <w:t>监测数据存储功能检查。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highlight w:val="none"/>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highlight w:val="none"/>
              </w:rPr>
            </w:pPr>
            <w:r>
              <w:rPr>
                <w:rFonts w:hint="eastAsia" w:ascii="宋体" w:hAnsi="宋体" w:eastAsia="宋体" w:cs="宋体"/>
                <w:sz w:val="24"/>
                <w:szCs w:val="24"/>
                <w:highlight w:val="none"/>
              </w:rPr>
              <w:t>月报功能检查。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5</w:t>
            </w:r>
          </w:p>
        </w:tc>
        <w:tc>
          <w:tcPr>
            <w:tcW w:w="789"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控制系统</w:t>
            </w: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控制电脑硬件、操作系统检查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控制电脑硬件、外观和操作系统正常。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系统安全检查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对系统进行安全测试，对其存在的安全漏洞进行修补，防止病毒的侵入。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软件检查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确定控制系统内部软件工作是否正常，若异常及时对其进行故障判断解决。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系统备份检查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对系统进行备份，以便在发生灾难性故障时能够及时有效的恢复系统。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2"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6</w:t>
            </w:r>
          </w:p>
        </w:tc>
        <w:tc>
          <w:tcPr>
            <w:tcW w:w="789"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网络连接</w:t>
            </w: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交换机硬件检查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对交换机进行硬件检查，确定其工作状态，及时发现并解决出现的硬件故障。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交换机连通性检查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对交换机进行数据包交换测试。确定其各端口数据交换的联通性。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7</w:t>
            </w:r>
          </w:p>
        </w:tc>
        <w:tc>
          <w:tcPr>
            <w:tcW w:w="789"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电源系统</w:t>
            </w:r>
          </w:p>
        </w:tc>
        <w:tc>
          <w:tcPr>
            <w:tcW w:w="1307"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电源管理模块检查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车载充电方式。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市电充电方式。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电池状态检查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蓄电池是否能正常进行充、放电。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蓄电池连接处有无松动、腐蚀现象。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蓄电池外观是否完好、无外壳变形和渗漏。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蓄电池的极柱、安全阀周围是否有酸雾溢出。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供电电压测量</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分别测量市电电压，稳压电源输出电压、UPS输入输出电压、蓄电池组电压，必要时测量蓄电池单体电压。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8</w:t>
            </w:r>
          </w:p>
        </w:tc>
        <w:tc>
          <w:tcPr>
            <w:tcW w:w="789"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设备连接</w:t>
            </w: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电源连接线检查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设备电源连接线连接固定正常。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数据连接线检查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设备数据连接线连接固定正常。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射频线检查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天馈射频连接线连接固定正常。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62"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9</w:t>
            </w:r>
          </w:p>
        </w:tc>
        <w:tc>
          <w:tcPr>
            <w:tcW w:w="789"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视频图像监视系统（若有）</w:t>
            </w: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视频服务器功能检查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设备基本状态检查。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摄像机&amp;云台功能检查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设备基本状态检查。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检查设备供电是否为长供电（UPS供电）。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监控图像测试（截图）。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62"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宋体"/>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789"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移动监测车</w:t>
            </w:r>
          </w:p>
        </w:tc>
        <w:tc>
          <w:tcPr>
            <w:tcW w:w="1307"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车况检查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对车辆外观、轮胎、灯光、转向、制动系统及各部分润滑油（脂）、燃油、冷却液、制动液等进行检查。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保持监测车车内环境整洁，各监测设备周围禁止堆放杂物。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保持车内通风、干燥、环境良好。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车载设备检查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清理设备积灰，定期通电，检查车内各设备运行是否正常。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车载消防设备检查，如检查灭火系统维护情况，检查灭火器是否过期或压力不足等。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检查机柜散热风扇运行情况，检查机柜及设备紧固性。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车辆行驶检查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检查车辆机柜防震效果是否正常。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restar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车库检查</w:t>
            </w: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监测车应配有专用车库，检查车库内的市电插座。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62"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789"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07" w:type="pct"/>
            <w:vMerge w:val="continue"/>
            <w:tcBorders>
              <w:tl2br w:val="nil"/>
              <w:tr2bl w:val="nil"/>
            </w:tcBorders>
            <w:shd w:val="clear" w:color="auto" w:fill="FFFFFF"/>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540" w:type="pct"/>
            <w:tcBorders>
              <w:tl2br w:val="nil"/>
              <w:tr2bl w:val="nil"/>
            </w:tcBorders>
            <w:shd w:val="clear" w:color="auto" w:fill="FFFFFF"/>
            <w:vAlign w:val="center"/>
          </w:tcPr>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检查车库内不得存放无关杂物，保持车库整洁。</w:t>
            </w:r>
          </w:p>
        </w:tc>
      </w:tr>
    </w:tbl>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outlineLvl w:val="5"/>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便携式监测设备</w:t>
      </w:r>
    </w:p>
    <w:tbl>
      <w:tblPr>
        <w:tblStyle w:val="10"/>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0" w:type="dxa"/>
          <w:bottom w:w="0" w:type="dxa"/>
          <w:right w:w="0" w:type="dxa"/>
        </w:tblCellMar>
      </w:tblPr>
      <w:tblGrid>
        <w:gridCol w:w="588"/>
        <w:gridCol w:w="1341"/>
        <w:gridCol w:w="2154"/>
        <w:gridCol w:w="42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序</w:t>
            </w:r>
          </w:p>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号</w:t>
            </w:r>
          </w:p>
        </w:tc>
        <w:tc>
          <w:tcPr>
            <w:tcW w:w="806" w:type="pct"/>
            <w:tcBorders>
              <w:top w:val="single" w:color="000000" w:sz="4" w:space="0"/>
              <w:left w:val="nil"/>
              <w:bottom w:val="single" w:color="000000" w:sz="4" w:space="0"/>
              <w:right w:val="single" w:color="000000" w:sz="4" w:space="0"/>
            </w:tcBorders>
            <w:shd w:val="clear" w:color="auto" w:fill="FFFFFF"/>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巡检设备</w:t>
            </w:r>
          </w:p>
        </w:tc>
        <w:tc>
          <w:tcPr>
            <w:tcW w:w="1295" w:type="pct"/>
            <w:tcBorders>
              <w:top w:val="single" w:color="000000" w:sz="4" w:space="0"/>
              <w:left w:val="nil"/>
              <w:bottom w:val="single" w:color="000000" w:sz="4" w:space="0"/>
              <w:right w:val="single" w:color="000000" w:sz="4" w:space="0"/>
            </w:tcBorders>
            <w:shd w:val="clear" w:color="auto" w:fill="FFFFFF"/>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巡检项目</w:t>
            </w:r>
          </w:p>
        </w:tc>
        <w:tc>
          <w:tcPr>
            <w:tcW w:w="2543" w:type="pct"/>
            <w:tcBorders>
              <w:top w:val="single" w:color="000000" w:sz="4" w:space="0"/>
              <w:left w:val="nil"/>
              <w:bottom w:val="single" w:color="000000" w:sz="4" w:space="0"/>
              <w:right w:val="single" w:color="000000" w:sz="4" w:space="0"/>
            </w:tcBorders>
            <w:shd w:val="clear" w:color="auto" w:fill="FFFFFF"/>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巡检要求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54" w:type="pct"/>
            <w:vMerge w:val="restart"/>
            <w:tcBorders>
              <w:top w:val="nil"/>
              <w:left w:val="single" w:color="000000" w:sz="4" w:space="0"/>
              <w:bottom w:val="single" w:color="000000" w:sz="4" w:space="0"/>
              <w:right w:val="single" w:color="000000" w:sz="4" w:space="0"/>
            </w:tcBorders>
            <w:shd w:val="clear" w:color="auto" w:fill="FFFFFF"/>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806" w:type="pct"/>
            <w:vMerge w:val="restart"/>
            <w:tcBorders>
              <w:top w:val="nil"/>
              <w:left w:val="nil"/>
              <w:bottom w:val="single" w:color="000000" w:sz="4" w:space="0"/>
              <w:right w:val="single" w:color="000000" w:sz="4" w:space="0"/>
            </w:tcBorders>
            <w:shd w:val="clear" w:color="auto" w:fill="FFFFFF"/>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接收机</w:t>
            </w:r>
          </w:p>
        </w:tc>
        <w:tc>
          <w:tcPr>
            <w:tcW w:w="1295" w:type="pct"/>
            <w:vMerge w:val="restart"/>
            <w:tcBorders>
              <w:top w:val="nil"/>
              <w:left w:val="nil"/>
              <w:bottom w:val="single" w:color="000000" w:sz="4" w:space="0"/>
              <w:right w:val="single" w:color="000000" w:sz="4" w:space="0"/>
            </w:tcBorders>
            <w:shd w:val="clear" w:color="auto" w:fill="FFFFFF"/>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接收机功能性检查</w:t>
            </w:r>
          </w:p>
        </w:tc>
        <w:tc>
          <w:tcPr>
            <w:tcW w:w="2543"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设备外观检查，连接线检查整理。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54" w:type="pct"/>
            <w:vMerge w:val="continue"/>
            <w:tcBorders>
              <w:top w:val="nil"/>
              <w:left w:val="single" w:color="000000" w:sz="4" w:space="0"/>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806"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1295"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2543"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设备开机自检是否正常。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54" w:type="pct"/>
            <w:vMerge w:val="continue"/>
            <w:tcBorders>
              <w:top w:val="nil"/>
              <w:left w:val="single" w:color="000000" w:sz="4" w:space="0"/>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806"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1295"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2543"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设备基本状态检查。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54" w:type="pct"/>
            <w:vMerge w:val="continue"/>
            <w:tcBorders>
              <w:top w:val="nil"/>
              <w:left w:val="single" w:color="000000" w:sz="4" w:space="0"/>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806"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1295"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2543"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接收机性能检查。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54" w:type="pct"/>
            <w:vMerge w:val="continue"/>
            <w:tcBorders>
              <w:top w:val="nil"/>
              <w:left w:val="single" w:color="000000" w:sz="4" w:space="0"/>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806"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1295"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2543"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电池是否能正常进行充、放电。</w:t>
            </w:r>
          </w:p>
        </w:tc>
      </w:tr>
    </w:tbl>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outlineLvl w:val="5"/>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eastAsia="zh-CN"/>
        </w:rPr>
        <w:t>无线电控制中心</w:t>
      </w:r>
    </w:p>
    <w:tbl>
      <w:tblPr>
        <w:tblStyle w:val="10"/>
        <w:tblW w:w="5004"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0" w:type="dxa"/>
          <w:bottom w:w="0" w:type="dxa"/>
          <w:right w:w="0" w:type="dxa"/>
        </w:tblCellMar>
      </w:tblPr>
      <w:tblGrid>
        <w:gridCol w:w="643"/>
        <w:gridCol w:w="1156"/>
        <w:gridCol w:w="1505"/>
        <w:gridCol w:w="501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序号</w:t>
            </w:r>
          </w:p>
        </w:tc>
        <w:tc>
          <w:tcPr>
            <w:tcW w:w="694" w:type="pct"/>
            <w:tcBorders>
              <w:top w:val="single" w:color="000000" w:sz="4" w:space="0"/>
              <w:left w:val="nil"/>
              <w:bottom w:val="single" w:color="000000" w:sz="4" w:space="0"/>
              <w:right w:val="single" w:color="000000" w:sz="4" w:space="0"/>
            </w:tcBorders>
            <w:shd w:val="clear" w:color="auto" w:fill="FFFFFF"/>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巡检设备</w:t>
            </w:r>
          </w:p>
        </w:tc>
        <w:tc>
          <w:tcPr>
            <w:tcW w:w="904" w:type="pct"/>
            <w:tcBorders>
              <w:top w:val="single" w:color="000000" w:sz="4" w:space="0"/>
              <w:left w:val="nil"/>
              <w:bottom w:val="single" w:color="000000" w:sz="4" w:space="0"/>
              <w:right w:val="single" w:color="000000" w:sz="4" w:space="0"/>
            </w:tcBorders>
            <w:shd w:val="clear" w:color="auto" w:fill="FFFFFF"/>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巡检项目</w:t>
            </w:r>
          </w:p>
        </w:tc>
        <w:tc>
          <w:tcPr>
            <w:tcW w:w="3014" w:type="pct"/>
            <w:tcBorders>
              <w:top w:val="single" w:color="000000" w:sz="4" w:space="0"/>
              <w:left w:val="nil"/>
              <w:bottom w:val="single" w:color="000000" w:sz="4" w:space="0"/>
              <w:right w:val="single" w:color="000000" w:sz="4" w:space="0"/>
            </w:tcBorders>
            <w:shd w:val="clear" w:color="auto" w:fill="FFFFFF"/>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巡检要求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restart"/>
            <w:tcBorders>
              <w:top w:val="nil"/>
              <w:left w:val="single" w:color="000000" w:sz="4" w:space="0"/>
              <w:bottom w:val="single" w:color="000000" w:sz="4" w:space="0"/>
              <w:right w:val="single" w:color="000000" w:sz="4" w:space="0"/>
            </w:tcBorders>
            <w:shd w:val="clear" w:color="auto" w:fill="FFFFFF"/>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694" w:type="pct"/>
            <w:vMerge w:val="restar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控制系统</w:t>
            </w: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控制端硬件、操作系统检查</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控制电脑和服务期的硬件、外观和操作系统正常。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24"/>
                <w:szCs w:val="24"/>
                <w:lang w:val="en-US" w:eastAsia="zh-CN" w:bidi="ar"/>
              </w:rPr>
            </w:pPr>
          </w:p>
        </w:tc>
        <w:tc>
          <w:tcPr>
            <w:tcW w:w="69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系统安全检查</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对系统进行安全测试，对其存在的安全漏洞进行修补，防止病毒的侵入。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24"/>
                <w:szCs w:val="24"/>
                <w:lang w:val="en-US" w:eastAsia="zh-CN" w:bidi="ar"/>
              </w:rPr>
            </w:pPr>
          </w:p>
        </w:tc>
        <w:tc>
          <w:tcPr>
            <w:tcW w:w="69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软件检查</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确定控制系统内部软件工作是否正常，若异常及时对其进行故障判断解决。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24"/>
                <w:szCs w:val="24"/>
                <w:lang w:val="en-US" w:eastAsia="zh-CN" w:bidi="ar"/>
              </w:rPr>
            </w:pPr>
          </w:p>
        </w:tc>
        <w:tc>
          <w:tcPr>
            <w:tcW w:w="69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系统备份检查</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对系统进行备份，以便在发生灾难性故障时能够及时有效的恢复系统。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restart"/>
            <w:tcBorders>
              <w:top w:val="nil"/>
              <w:left w:val="single" w:color="000000" w:sz="4" w:space="0"/>
              <w:bottom w:val="single" w:color="000000" w:sz="4" w:space="0"/>
              <w:right w:val="single" w:color="000000" w:sz="4" w:space="0"/>
            </w:tcBorders>
            <w:shd w:val="clear" w:color="auto" w:fill="FFFFFF"/>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w:t>
            </w:r>
          </w:p>
        </w:tc>
        <w:tc>
          <w:tcPr>
            <w:tcW w:w="694" w:type="pct"/>
            <w:vMerge w:val="restar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网络连接</w:t>
            </w: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路由器硬件检查</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检查路由器硬件，根据具体的硬件环境确定其工作状态。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24"/>
                <w:szCs w:val="24"/>
                <w:lang w:val="en-US" w:eastAsia="zh-CN" w:bidi="ar"/>
              </w:rPr>
            </w:pPr>
          </w:p>
        </w:tc>
        <w:tc>
          <w:tcPr>
            <w:tcW w:w="69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路由器连通性、安全性检查</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对路由器进行网络联通性和安全测试，发现并对所发现的安全漏洞进行处理。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24"/>
                <w:szCs w:val="24"/>
                <w:lang w:val="en-US" w:eastAsia="zh-CN" w:bidi="ar"/>
              </w:rPr>
            </w:pPr>
          </w:p>
        </w:tc>
        <w:tc>
          <w:tcPr>
            <w:tcW w:w="69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交换机硬件检查</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对交换机进行硬件检查，确定其工作状态，及时发现并解决出现的硬件故障。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24"/>
                <w:szCs w:val="24"/>
                <w:lang w:val="en-US" w:eastAsia="zh-CN" w:bidi="ar"/>
              </w:rPr>
            </w:pPr>
          </w:p>
        </w:tc>
        <w:tc>
          <w:tcPr>
            <w:tcW w:w="69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交换机联通性检查</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对交换机进行数据包交换测试。确定其各端口数据交换的联通性。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restart"/>
            <w:tcBorders>
              <w:top w:val="nil"/>
              <w:left w:val="single" w:color="000000" w:sz="4" w:space="0"/>
              <w:bottom w:val="single" w:color="000000" w:sz="4" w:space="0"/>
              <w:right w:val="single" w:color="000000" w:sz="4" w:space="0"/>
            </w:tcBorders>
            <w:shd w:val="clear" w:color="auto" w:fill="FFFFFF"/>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694" w:type="pct"/>
            <w:vMerge w:val="restar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应用软件</w:t>
            </w: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监测系统软件</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检查软件是否正常开启，能否正常控制接收机并分析、处理、保存监测数据。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24"/>
                <w:szCs w:val="24"/>
                <w:lang w:val="en-US" w:eastAsia="zh-CN" w:bidi="ar"/>
              </w:rPr>
            </w:pPr>
          </w:p>
        </w:tc>
        <w:tc>
          <w:tcPr>
            <w:tcW w:w="69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办公系统</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检查是否正常工作。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24"/>
                <w:szCs w:val="24"/>
                <w:lang w:val="en-US" w:eastAsia="zh-CN" w:bidi="ar"/>
              </w:rPr>
            </w:pPr>
          </w:p>
        </w:tc>
        <w:tc>
          <w:tcPr>
            <w:tcW w:w="69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信息安全防护软件</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检查是否安装并开启信息安全防护软件。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24"/>
                <w:szCs w:val="24"/>
                <w:lang w:val="en-US" w:eastAsia="zh-CN" w:bidi="ar"/>
              </w:rPr>
            </w:pPr>
          </w:p>
        </w:tc>
        <w:tc>
          <w:tcPr>
            <w:tcW w:w="69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视频会议系统软件</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检查是否正常工作。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24"/>
                <w:szCs w:val="24"/>
                <w:lang w:val="en-US" w:eastAsia="zh-CN" w:bidi="ar"/>
              </w:rPr>
            </w:pPr>
          </w:p>
        </w:tc>
        <w:tc>
          <w:tcPr>
            <w:tcW w:w="69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其他应用软件</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检查是否正常工作。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restart"/>
            <w:tcBorders>
              <w:top w:val="nil"/>
              <w:left w:val="single" w:color="000000" w:sz="4" w:space="0"/>
              <w:bottom w:val="single" w:color="000000" w:sz="4" w:space="0"/>
              <w:right w:val="single" w:color="000000" w:sz="4" w:space="0"/>
            </w:tcBorders>
            <w:shd w:val="clear" w:color="auto" w:fill="FFFFFF"/>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w:t>
            </w:r>
          </w:p>
        </w:tc>
        <w:tc>
          <w:tcPr>
            <w:tcW w:w="694" w:type="pct"/>
            <w:vMerge w:val="restar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视频会议系统</w:t>
            </w: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大屏显示设备检查</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检查是否正常工作。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24"/>
                <w:szCs w:val="24"/>
                <w:lang w:val="en-US" w:eastAsia="zh-CN" w:bidi="ar"/>
              </w:rPr>
            </w:pPr>
          </w:p>
        </w:tc>
        <w:tc>
          <w:tcPr>
            <w:tcW w:w="69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音响设备检查</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检查是否正常工作。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24"/>
                <w:szCs w:val="24"/>
                <w:lang w:val="en-US" w:eastAsia="zh-CN" w:bidi="ar"/>
              </w:rPr>
            </w:pPr>
          </w:p>
        </w:tc>
        <w:tc>
          <w:tcPr>
            <w:tcW w:w="69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视频会议设备检查</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检查是否正常工作。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24"/>
                <w:szCs w:val="24"/>
                <w:lang w:val="en-US" w:eastAsia="zh-CN" w:bidi="ar"/>
              </w:rPr>
            </w:pPr>
          </w:p>
        </w:tc>
        <w:tc>
          <w:tcPr>
            <w:tcW w:w="69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机房集成设备检查</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检查是否正常工作。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24"/>
                <w:szCs w:val="24"/>
                <w:lang w:val="en-US" w:eastAsia="zh-CN" w:bidi="ar"/>
              </w:rPr>
            </w:pPr>
          </w:p>
        </w:tc>
        <w:tc>
          <w:tcPr>
            <w:tcW w:w="69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机房配件检查</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检查网线、配线和电源插座等是否正常工作。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restart"/>
            <w:tcBorders>
              <w:top w:val="nil"/>
              <w:left w:val="single" w:color="000000" w:sz="4" w:space="0"/>
              <w:bottom w:val="single" w:color="000000" w:sz="4" w:space="0"/>
              <w:right w:val="single" w:color="000000" w:sz="4" w:space="0"/>
            </w:tcBorders>
            <w:shd w:val="clear" w:color="auto" w:fill="FFFFFF"/>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w:t>
            </w:r>
          </w:p>
        </w:tc>
        <w:tc>
          <w:tcPr>
            <w:tcW w:w="694" w:type="pct"/>
            <w:vMerge w:val="restar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环境监控系统</w:t>
            </w: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门窗防盗检查</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检查门窗是否完好，每次出入机房按规定关好门窗。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continue"/>
            <w:tcBorders>
              <w:top w:val="nil"/>
              <w:left w:val="single" w:color="000000" w:sz="4" w:space="0"/>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69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消防检查</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检查消防器材是否在检查时间范围内，检查室外消火栓系统、防排烟设施和灭火设施的维护情况。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continue"/>
            <w:tcBorders>
              <w:top w:val="nil"/>
              <w:left w:val="single" w:color="000000" w:sz="4" w:space="0"/>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69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监控检查</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检查监控是否正常工作，摄像头位置是否正常，影像存储是否正常。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continue"/>
            <w:tcBorders>
              <w:top w:val="nil"/>
              <w:left w:val="single" w:color="000000" w:sz="4" w:space="0"/>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69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90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空调检查</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检查是否正常工作。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continue"/>
            <w:tcBorders>
              <w:top w:val="nil"/>
              <w:left w:val="single" w:color="000000" w:sz="4" w:space="0"/>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69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904" w:type="pct"/>
            <w:vMerge w:val="restar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机房检查</w:t>
            </w: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检查机柜安全可靠牢固，检查机柜散热风扇运行情况正常。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continue"/>
            <w:tcBorders>
              <w:top w:val="nil"/>
              <w:left w:val="single" w:color="000000" w:sz="4" w:space="0"/>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69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90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对设备进行除尘，对机柜进行清洁维护。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c>
          <w:tcPr>
            <w:tcW w:w="386" w:type="pct"/>
            <w:vMerge w:val="continue"/>
            <w:tcBorders>
              <w:top w:val="nil"/>
              <w:left w:val="single" w:color="000000" w:sz="4" w:space="0"/>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69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904" w:type="pct"/>
            <w:vMerge w:val="continue"/>
            <w:tcBorders>
              <w:top w:val="nil"/>
              <w:left w:val="nil"/>
              <w:bottom w:val="single" w:color="000000" w:sz="4" w:space="0"/>
              <w:right w:val="single" w:color="000000" w:sz="4" w:space="0"/>
            </w:tcBorders>
            <w:vAlign w:val="center"/>
          </w:tcPr>
          <w:p>
            <w:pPr>
              <w:jc w:val="both"/>
              <w:rPr>
                <w:rFonts w:hint="eastAsia" w:ascii="宋体" w:hAnsi="宋体" w:eastAsia="宋体" w:cs="宋体"/>
                <w:kern w:val="0"/>
                <w:sz w:val="24"/>
                <w:szCs w:val="24"/>
                <w:lang w:val="en-US" w:eastAsia="zh-CN" w:bidi="ar"/>
              </w:rPr>
            </w:pPr>
          </w:p>
        </w:tc>
        <w:tc>
          <w:tcPr>
            <w:tcW w:w="3014" w:type="pct"/>
            <w:tcBorders>
              <w:top w:val="nil"/>
              <w:left w:val="nil"/>
              <w:bottom w:val="single" w:color="000000" w:sz="4" w:space="0"/>
              <w:right w:val="single" w:color="000000" w:sz="4" w:space="0"/>
            </w:tcBorders>
            <w:shd w:val="clear" w:color="auto" w:fill="FFFFFF"/>
            <w:vAlign w:val="center"/>
          </w:tcPr>
          <w:p>
            <w:pPr>
              <w:pStyle w:val="1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对机房环境卫生进行打扫，机柜内线缆连接检查整理，机房外围安全检查和机房防水检查，排除隐患。</w:t>
            </w:r>
          </w:p>
        </w:tc>
      </w:tr>
    </w:tbl>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2" w:firstLineChars="200"/>
        <w:textAlignment w:val="auto"/>
        <w:outlineLvl w:val="3"/>
        <w:rPr>
          <w:rStyle w:val="13"/>
          <w:rFonts w:hint="default" w:ascii="宋体" w:hAnsi="宋体" w:eastAsia="宋体" w:cs="宋体"/>
          <w:lang w:val="en-US" w:eastAsia="zh-CN"/>
        </w:rPr>
      </w:pPr>
      <w:r>
        <w:rPr>
          <w:rStyle w:val="13"/>
          <w:rFonts w:hint="eastAsia" w:ascii="宋体" w:hAnsi="宋体" w:eastAsia="宋体" w:cs="宋体"/>
          <w:lang w:val="en-US" w:eastAsia="zh-CN"/>
        </w:rPr>
        <w:t>3.日常检查</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3.1服务要求</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（1）运维服务期内每月至少2次负责按照规范要求完成对无线电固定监测站的日常检查；</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（2）运维服务期内每月至少1次负责按照规范要求完成对移动监测站、便携式监测设备、</w:t>
      </w:r>
      <w:r>
        <w:rPr>
          <w:rFonts w:hint="eastAsia" w:ascii="宋体" w:hAnsi="宋体" w:eastAsia="宋体" w:cs="宋体"/>
          <w:sz w:val="24"/>
          <w:szCs w:val="24"/>
          <w:lang w:val="en-US" w:eastAsia="zh-CN"/>
        </w:rPr>
        <w:t>无线电</w:t>
      </w:r>
      <w:r>
        <w:rPr>
          <w:rFonts w:hint="default" w:ascii="宋体" w:hAnsi="宋体" w:eastAsia="宋体" w:cs="宋体"/>
          <w:sz w:val="24"/>
          <w:szCs w:val="24"/>
          <w:lang w:val="en-US" w:eastAsia="zh-CN"/>
        </w:rPr>
        <w:t>监测控制中心的日常检查；</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（3）对无线电技术设施主要监测系统提供功能测试和检查服务，故障及时响应处置，并做好日常检查工作记录。</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3.2日常检查内容</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无线电固定监测站</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检查</w:t>
      </w:r>
      <w:r>
        <w:rPr>
          <w:rFonts w:hint="eastAsia" w:ascii="宋体" w:hAnsi="宋体" w:eastAsia="宋体" w:cs="宋体"/>
          <w:sz w:val="24"/>
          <w:szCs w:val="24"/>
        </w:rPr>
        <w:t>内容包括但不限于：检查计算机及服务器系统运行情况；检查监测、测向应用软件以及其他辅助软件的各种功能；测试网络、控制线及系统间连通及数据传输情况；监控系统检查。</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eastAsia="宋体"/>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移动监测站</w:t>
      </w:r>
      <w:r>
        <w:rPr>
          <w:rFonts w:hint="eastAsia" w:ascii="宋体" w:hAnsi="宋体" w:eastAsia="宋体" w:cs="宋体"/>
          <w:sz w:val="24"/>
          <w:szCs w:val="24"/>
          <w:lang w:eastAsia="zh-CN"/>
        </w:rPr>
        <w:t>、便携式监测设备</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检查内容包括但不限于：检查设备开机启动运行情况；检查设备自检情况；检查监测、测向应用软件运行情况；电池充电等</w:t>
      </w:r>
      <w:r>
        <w:rPr>
          <w:rFonts w:hint="eastAsia" w:ascii="宋体" w:hAnsi="宋体" w:eastAsia="宋体" w:cs="宋体"/>
          <w:sz w:val="24"/>
          <w:szCs w:val="24"/>
          <w:lang w:eastAsia="zh-CN"/>
        </w:rPr>
        <w:t>。</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）无线电控制中心</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检查内容包括但不限于：</w:t>
      </w:r>
      <w:r>
        <w:rPr>
          <w:rFonts w:hint="eastAsia" w:ascii="宋体" w:hAnsi="宋体" w:eastAsia="宋体" w:cs="宋体"/>
          <w:sz w:val="24"/>
          <w:szCs w:val="24"/>
        </w:rPr>
        <w:t>检查大屏幕及相关主设备开机启动运行情况</w:t>
      </w:r>
      <w:r>
        <w:rPr>
          <w:rFonts w:hint="eastAsia" w:ascii="宋体" w:hAnsi="宋体" w:eastAsia="宋体" w:cs="宋体"/>
          <w:sz w:val="24"/>
          <w:szCs w:val="24"/>
          <w:lang w:eastAsia="zh-CN"/>
        </w:rPr>
        <w:t>、检查视频会议系统工作情况、检查控制终端运行情况及环境监控系统运行情况等。</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2" w:firstLineChars="200"/>
        <w:textAlignment w:val="auto"/>
        <w:outlineLvl w:val="3"/>
        <w:rPr>
          <w:rStyle w:val="13"/>
          <w:rFonts w:hint="eastAsia" w:ascii="宋体" w:hAnsi="宋体" w:eastAsia="宋体" w:cs="宋体"/>
          <w:lang w:val="en-US" w:eastAsia="zh-CN"/>
        </w:rPr>
      </w:pPr>
      <w:r>
        <w:rPr>
          <w:rStyle w:val="13"/>
          <w:rFonts w:hint="eastAsia" w:ascii="宋体" w:hAnsi="宋体" w:eastAsia="宋体" w:cs="宋体"/>
          <w:lang w:val="en-US" w:eastAsia="zh-CN"/>
        </w:rPr>
        <w:t>4.应急维护及重大活动保障运维</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成交人应备有科学的应急预案或紧急处置措施，运维服务期内若遇有重大自然灾害(台风、雷暴雨、地震等)发生或即将发生，应及时启动应急预案，第一时间到达现场，做好防灾抗灾和应急抢险等各项准备；应重点检查机房密封性、设施(设备)紧固性、防雷安全性等方面，组织做好固定站相关设施(设备)加固工作和防灾应急处置，在确保人员自身安全的前提下，及时消除安全隐患，对已受影响或受损的固定站相关设施(设备)进行统计分析和评估，形成情况报告并及时协助开展灾后恢复工作，确保监测设施在最短时间内恢复正常运转。</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运维服务期内若遇执行重大活动保障(如党政重大活动、重大文体活动、重要大型考试)、大型无线电技术演练活动或紧急干扰排查等任务时，需提供必要的技术支持、备品备件和运维保障服务，针对服务范围内相关的无线电技术设施做好专项巡检，任务执行过程中全程保障设备的正常使用。所有情况按照要求详细做好记录，存入无线电技术设施运维档案中。</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2" w:firstLineChars="200"/>
        <w:textAlignment w:val="auto"/>
        <w:outlineLvl w:val="3"/>
      </w:pPr>
      <w:r>
        <w:rPr>
          <w:rStyle w:val="13"/>
          <w:rFonts w:hint="eastAsia" w:ascii="宋体" w:hAnsi="宋体" w:eastAsia="宋体" w:cs="宋体"/>
          <w:lang w:val="en-US" w:eastAsia="zh-CN"/>
        </w:rPr>
        <w:t>5</w:t>
      </w:r>
      <w:r>
        <w:rPr>
          <w:rStyle w:val="13"/>
          <w:rFonts w:hint="eastAsia" w:ascii="宋体" w:hAnsi="宋体" w:eastAsia="宋体" w:cs="宋体"/>
        </w:rPr>
        <w:t>.故障排查及维修服务</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0" w:firstLineChars="200"/>
        <w:textAlignment w:val="auto"/>
        <w:outlineLvl w:val="4"/>
      </w:pPr>
      <w:r>
        <w:rPr>
          <w:rFonts w:hint="eastAsia" w:ascii="宋体" w:hAnsi="宋体" w:eastAsia="宋体" w:cs="宋体"/>
          <w:sz w:val="24"/>
          <w:szCs w:val="24"/>
          <w:lang w:val="en-US" w:eastAsia="zh-CN"/>
        </w:rPr>
        <w:t>5.1</w:t>
      </w:r>
      <w:r>
        <w:rPr>
          <w:rFonts w:hint="eastAsia" w:ascii="宋体" w:hAnsi="宋体" w:eastAsia="宋体" w:cs="宋体"/>
          <w:sz w:val="24"/>
          <w:szCs w:val="24"/>
        </w:rPr>
        <w:t>故障排查及维修服务要求</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运维服务期内，运维服务范围内的所有设施、设备及系统出现故障，应及时开展排查定位，并根据故障的严重程度和影响程度，提供相应的故障维修（送修）服务，能现场处置的迅速处置，无法现场处理解决的，根据时效要求提供故障维修服务，对于故障进口设备，及时提交实施送修方案，对于影响站点、各监测系统正常工作的主要设备故障且维修周期较长的，应协助采取备机（省无线电监测站</w:t>
      </w:r>
      <w:r>
        <w:rPr>
          <w:rFonts w:hint="eastAsia" w:ascii="宋体" w:hAnsi="宋体" w:eastAsia="宋体" w:cs="宋体"/>
          <w:sz w:val="24"/>
          <w:szCs w:val="24"/>
          <w:lang w:eastAsia="zh-CN"/>
        </w:rPr>
        <w:t>平潭直属分站</w:t>
      </w:r>
      <w:r>
        <w:rPr>
          <w:rFonts w:hint="eastAsia" w:ascii="宋体" w:hAnsi="宋体" w:eastAsia="宋体" w:cs="宋体"/>
          <w:sz w:val="24"/>
          <w:szCs w:val="24"/>
        </w:rPr>
        <w:t>提供）顶用的方式，保证各类无线电监测系统能够在维修期照常工作，对于故障损坏严重，不具备维修价值的故障设备，应出具故障核查报告，征得省无线电监测站</w:t>
      </w:r>
      <w:r>
        <w:rPr>
          <w:rFonts w:hint="eastAsia" w:ascii="宋体" w:hAnsi="宋体" w:eastAsia="宋体" w:cs="宋体"/>
          <w:sz w:val="24"/>
          <w:szCs w:val="24"/>
          <w:lang w:eastAsia="zh-CN"/>
        </w:rPr>
        <w:t>平潭直属分站</w:t>
      </w:r>
      <w:r>
        <w:rPr>
          <w:rFonts w:hint="eastAsia" w:ascii="宋体" w:hAnsi="宋体" w:eastAsia="宋体" w:cs="宋体"/>
          <w:sz w:val="24"/>
          <w:szCs w:val="24"/>
        </w:rPr>
        <w:t>同意后可放弃维修。故障排查及维修服务所有情况按照要求详细做好记录，存入无线电</w:t>
      </w:r>
      <w:r>
        <w:rPr>
          <w:rFonts w:hint="eastAsia" w:ascii="宋体" w:hAnsi="宋体" w:eastAsia="宋体" w:cs="宋体"/>
          <w:sz w:val="24"/>
          <w:szCs w:val="24"/>
          <w:lang w:eastAsia="zh-CN"/>
        </w:rPr>
        <w:t>技术</w:t>
      </w:r>
      <w:r>
        <w:rPr>
          <w:rFonts w:hint="eastAsia" w:ascii="宋体" w:hAnsi="宋体" w:eastAsia="宋体" w:cs="宋体"/>
          <w:sz w:val="24"/>
          <w:szCs w:val="24"/>
        </w:rPr>
        <w:t>设施运维档案中。</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0" w:firstLineChars="200"/>
        <w:textAlignment w:val="auto"/>
        <w:outlineLvl w:val="4"/>
      </w:pPr>
      <w:r>
        <w:rPr>
          <w:rFonts w:hint="eastAsia" w:ascii="宋体" w:hAnsi="宋体" w:eastAsia="宋体" w:cs="宋体"/>
          <w:sz w:val="24"/>
          <w:szCs w:val="24"/>
          <w:lang w:val="en-US" w:eastAsia="zh-CN"/>
        </w:rPr>
        <w:t>5.2</w:t>
      </w:r>
      <w:r>
        <w:rPr>
          <w:rFonts w:hint="eastAsia" w:ascii="宋体" w:hAnsi="宋体" w:eastAsia="宋体" w:cs="宋体"/>
          <w:sz w:val="24"/>
          <w:szCs w:val="24"/>
        </w:rPr>
        <w:t>维修服务范围要求</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维修服务范围包含控制系统（如设备工控机、控制器等）、网络通信系统（如路由器、交换机、光端机等）、电源系统（如UPS、稳压器、逆变器、充电器等）、遥控系统（如遥控系统主机、门磁、烟感等）、防雷接地系统（如避雷器、接地引下线、电源空开、汇流排、接地设施等）、环境监控系统（如门窗、温湿度、消防、监控、空调、机房内机柜、散热设施等）和附属专业设备及其非损耗辅件，所需维修（包含过程中发生的设备包装、寄送等送修）费用纳入本次招标总价。</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维修服务范围不包含监测接收机、测向接收机、信号处理设备、仪器仪表、天线</w:t>
      </w:r>
      <w:r>
        <w:rPr>
          <w:rFonts w:hint="eastAsia" w:ascii="宋体" w:hAnsi="宋体" w:eastAsia="宋体" w:cs="宋体"/>
          <w:sz w:val="24"/>
          <w:szCs w:val="24"/>
          <w:lang w:eastAsia="zh-CN"/>
        </w:rPr>
        <w:t>、大屏系统</w:t>
      </w:r>
      <w:r>
        <w:rPr>
          <w:rFonts w:hint="eastAsia" w:ascii="宋体" w:hAnsi="宋体" w:eastAsia="宋体" w:cs="宋体"/>
          <w:sz w:val="24"/>
          <w:szCs w:val="24"/>
        </w:rPr>
        <w:t>等设备及站点使用的铅酸蓄电池组损耗设施等。针对维修范围不包含的监测设备及配套设施有出现异常时，应提供故障发现、检测及送修服务，涉及上述设施设备故障或意外事故（雷击、火灾、浸水等自然灾害）造成的大范围设备故障以及仍处于质保期内的技术设施所需维修费用不纳入本次招标总价。</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0" w:firstLineChars="200"/>
        <w:textAlignment w:val="auto"/>
        <w:outlineLvl w:val="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5.3故障处置响应时效要求</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0" w:firstLineChars="200"/>
        <w:textAlignment w:val="auto"/>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根据故障的严重程度和影响程度的不同，应按照故障等级要求进行故障处理，故障等级分为一级（重大）故障、二级（主要）故障、三级（次要）故障，不同等级故障应在相应时限内处置完成，对应时限要求也应满足国家和省有关监测设施巡检规范中有关故障处理时效要求，如遇特殊情况，经省无线电监测站同意后，可对时限进行适当调整。</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0" w:firstLineChars="200"/>
        <w:textAlignment w:val="auto"/>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一级（重大）故障指</w:t>
      </w:r>
      <w:r>
        <w:rPr>
          <w:rFonts w:hint="eastAsia" w:ascii="宋体" w:hAnsi="宋体" w:eastAsia="宋体" w:cs="宋体"/>
          <w:sz w:val="24"/>
          <w:szCs w:val="24"/>
          <w:lang w:eastAsia="zh-CN"/>
        </w:rPr>
        <w:t>技术</w:t>
      </w:r>
      <w:r>
        <w:rPr>
          <w:rFonts w:hint="eastAsia" w:ascii="宋体" w:hAnsi="宋体" w:eastAsia="宋体" w:cs="宋体"/>
          <w:sz w:val="24"/>
          <w:szCs w:val="24"/>
        </w:rPr>
        <w:t>设施（如监测测向主设备发生故障无法启动、监测测向天线故障、网络通信中断、供电系统断路等）和相关系统（如工控机故障、系统软件报错无法启动）出现瘫痪，监测测向功能丧失、设施运行中断或关键业务数据丢失等，导致监测系统无法正常运行使用的。一级故障的响应时限应在30 分钟内，故障处理方案应在4小时内提交或反馈，业务恢复时限应在 24 小时内，故障解决时限应在 48小时内（进口设备需送修的除外）。</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0" w:firstLineChars="200"/>
        <w:textAlignment w:val="auto"/>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二级（主要）故障指监测设施和相关系统部分功能出现故障（如监测及测向系统自检设备处于虚拟状态、安防动力环境监控系统发生告警等）、系统性能下降，影响设施正常运行或监测测向结果出现较大误差，以及可能造成设施瘫痪或监测业务中断的重大隐患。二级故障的响应时限应在 2 小时以内，故障处理方案应在8小时内提交或反馈，业务恢复时限应在 48小时，故障解决时限应在 96小时以内（进口设备需送修的除外）。</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0" w:firstLineChars="200"/>
        <w:textAlignment w:val="auto"/>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三级（次要）故障指监测设施和相关系统部分功能和性能受影响（如视频监控系统故障、空调设备故障、防雷设施故障及其他配套设施故障等），但监测业务及其他主要功能仍可正常运行的情况。三级故障的响应时限应在 12 小时以内，故障处理方案应在24小时内提交或反馈，业务恢复时限应在 72 小时以内，故障解决时限应在120小时以内（进口设备需送修的除外）。</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2" w:firstLineChars="200"/>
        <w:textAlignment w:val="auto"/>
        <w:outlineLvl w:val="3"/>
        <w:rPr>
          <w:rStyle w:val="13"/>
          <w:rFonts w:hint="eastAsia" w:ascii="宋体" w:hAnsi="宋体" w:eastAsia="宋体" w:cs="宋体"/>
          <w:lang w:val="en-US" w:eastAsia="zh-CN"/>
        </w:rPr>
      </w:pPr>
      <w:r>
        <w:rPr>
          <w:rStyle w:val="13"/>
          <w:rFonts w:hint="eastAsia" w:ascii="宋体" w:hAnsi="宋体" w:eastAsia="宋体" w:cs="宋体"/>
          <w:lang w:val="en-US" w:eastAsia="zh-CN"/>
        </w:rPr>
        <w:t>6.技术用房专项维护</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0" w:firstLineChars="200"/>
        <w:textAlignment w:val="auto"/>
        <w:outlineLvl w:val="4"/>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6.1服务要求</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对</w:t>
      </w:r>
      <w:r>
        <w:rPr>
          <w:rFonts w:hint="eastAsia" w:ascii="宋体" w:hAnsi="宋体" w:eastAsia="宋体" w:cs="宋体"/>
          <w:sz w:val="24"/>
          <w:szCs w:val="24"/>
        </w:rPr>
        <w:t>省无线电监测站</w:t>
      </w:r>
      <w:r>
        <w:rPr>
          <w:rFonts w:hint="eastAsia" w:ascii="宋体" w:hAnsi="宋体" w:eastAsia="宋体" w:cs="宋体"/>
          <w:sz w:val="24"/>
          <w:szCs w:val="24"/>
          <w:lang w:eastAsia="zh-CN"/>
        </w:rPr>
        <w:t>平潭直属分站现有技术用房的已知故障技术设施进行专项维修与整改作业。包括顶层围栏除锈喷漆、配套空调故障维修、无线电控制中心电动伸缩门故障维修等。</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0" w:firstLineChars="200"/>
        <w:textAlignment w:val="auto"/>
        <w:outlineLvl w:val="4"/>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6.2具体内容</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）围栏除锈喷漆处理：对顶层围栏（长约</w:t>
      </w:r>
      <w:r>
        <w:rPr>
          <w:rFonts w:hint="eastAsia" w:ascii="宋体" w:hAnsi="宋体" w:eastAsia="宋体" w:cs="宋体"/>
          <w:sz w:val="24"/>
          <w:szCs w:val="24"/>
          <w:lang w:val="en-US" w:eastAsia="zh-CN"/>
        </w:rPr>
        <w:t>200米，高约1.2米</w:t>
      </w:r>
      <w:r>
        <w:rPr>
          <w:rFonts w:hint="eastAsia" w:ascii="宋体" w:hAnsi="宋体" w:eastAsia="宋体" w:cs="宋体"/>
          <w:sz w:val="24"/>
          <w:szCs w:val="24"/>
          <w:lang w:eastAsia="zh-CN"/>
        </w:rPr>
        <w:t>）进行全面的除锈喷漆工作，包括锈迹清除、表面处理、喷漆保护等</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）配套空调故障维修：对</w:t>
      </w:r>
      <w:r>
        <w:rPr>
          <w:rFonts w:hint="eastAsia" w:ascii="宋体" w:hAnsi="宋体" w:eastAsia="宋体" w:cs="宋体"/>
          <w:sz w:val="24"/>
          <w:szCs w:val="24"/>
          <w:lang w:val="en-US" w:eastAsia="zh-CN"/>
        </w:rPr>
        <w:t>8台</w:t>
      </w:r>
      <w:r>
        <w:rPr>
          <w:rFonts w:hint="eastAsia" w:ascii="宋体" w:hAnsi="宋体" w:eastAsia="宋体" w:cs="宋体"/>
          <w:sz w:val="24"/>
          <w:szCs w:val="24"/>
          <w:lang w:eastAsia="zh-CN"/>
        </w:rPr>
        <w:t>技术用房配套空调进行全面的检查和维修，包括故障检测维修、清洗滤网、制冷剂添加等，确保空调设备正常运行，提供良好的设备运行环境。</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）无线电控制中心电动伸缩门故障维修：对电动伸缩门进行故障排查和维修，包括检查电源线路、更换损坏部件、调整开关门速度等，确保电动伸缩门正常开关。</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2" w:firstLineChars="200"/>
        <w:textAlignment w:val="auto"/>
        <w:outlineLvl w:val="2"/>
      </w:pPr>
      <w:r>
        <w:rPr>
          <w:rStyle w:val="13"/>
          <w:rFonts w:hint="eastAsia" w:ascii="宋体" w:hAnsi="宋体" w:eastAsia="宋体" w:cs="宋体"/>
        </w:rPr>
        <w:t>（</w:t>
      </w:r>
      <w:r>
        <w:rPr>
          <w:rStyle w:val="13"/>
          <w:rFonts w:hint="eastAsia" w:ascii="宋体" w:hAnsi="宋体" w:eastAsia="宋体" w:cs="宋体"/>
          <w:lang w:eastAsia="zh-CN"/>
        </w:rPr>
        <w:t>五</w:t>
      </w:r>
      <w:r>
        <w:rPr>
          <w:rStyle w:val="13"/>
          <w:rFonts w:hint="eastAsia" w:ascii="宋体" w:hAnsi="宋体" w:eastAsia="宋体" w:cs="宋体"/>
        </w:rPr>
        <w:t>）运维服务管理要求</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1.</w:t>
      </w:r>
      <w:r>
        <w:rPr>
          <w:rFonts w:hint="eastAsia" w:ascii="宋体" w:hAnsi="宋体" w:eastAsia="宋体" w:cs="宋体"/>
          <w:sz w:val="24"/>
          <w:szCs w:val="24"/>
          <w:lang w:eastAsia="zh-CN"/>
        </w:rPr>
        <w:t>成交人</w:t>
      </w:r>
      <w:r>
        <w:rPr>
          <w:rFonts w:hint="eastAsia" w:ascii="宋体" w:hAnsi="宋体" w:eastAsia="宋体" w:cs="宋体"/>
          <w:sz w:val="24"/>
          <w:szCs w:val="24"/>
        </w:rPr>
        <w:t>应为本项目成立专业运维服务团队，指定唯一联系人（项目经理），定期派遣专业运维服务人员根据既定的运维服务方案实施巡检计划，及时完成故障设备维修（送修）任务，定期汇报服务项目完成情况，及时统计运维服务数据信息并提交给省无线电监测站</w:t>
      </w:r>
      <w:r>
        <w:rPr>
          <w:rFonts w:hint="eastAsia" w:ascii="宋体" w:hAnsi="宋体" w:eastAsia="宋体" w:cs="宋体"/>
          <w:sz w:val="24"/>
          <w:szCs w:val="24"/>
          <w:lang w:eastAsia="zh-CN"/>
        </w:rPr>
        <w:t>平潭直属分站</w:t>
      </w:r>
      <w:r>
        <w:rPr>
          <w:rFonts w:hint="eastAsia" w:ascii="宋体" w:hAnsi="宋体" w:eastAsia="宋体" w:cs="宋体"/>
          <w:sz w:val="24"/>
          <w:szCs w:val="24"/>
        </w:rPr>
        <w:t>。</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2.</w:t>
      </w:r>
      <w:r>
        <w:rPr>
          <w:rFonts w:hint="eastAsia" w:ascii="宋体" w:hAnsi="宋体" w:eastAsia="宋体" w:cs="宋体"/>
          <w:sz w:val="24"/>
          <w:szCs w:val="24"/>
          <w:lang w:eastAsia="zh-CN"/>
        </w:rPr>
        <w:t>成交人</w:t>
      </w:r>
      <w:r>
        <w:rPr>
          <w:rFonts w:hint="eastAsia" w:ascii="宋体" w:hAnsi="宋体" w:eastAsia="宋体" w:cs="宋体"/>
          <w:sz w:val="24"/>
          <w:szCs w:val="24"/>
        </w:rPr>
        <w:t>应积极配合省无线电监测站</w:t>
      </w:r>
      <w:r>
        <w:rPr>
          <w:rFonts w:hint="eastAsia" w:ascii="宋体" w:hAnsi="宋体" w:eastAsia="宋体" w:cs="宋体"/>
          <w:sz w:val="24"/>
          <w:szCs w:val="24"/>
          <w:lang w:eastAsia="zh-CN"/>
        </w:rPr>
        <w:t>平潭直属分站</w:t>
      </w:r>
      <w:r>
        <w:rPr>
          <w:rFonts w:hint="eastAsia" w:ascii="宋体" w:hAnsi="宋体" w:eastAsia="宋体" w:cs="宋体"/>
          <w:sz w:val="24"/>
          <w:szCs w:val="24"/>
        </w:rPr>
        <w:t>共同实施对运维服务人员的监督和管理，运维服务人员需遵守省无线电监测站</w:t>
      </w:r>
      <w:r>
        <w:rPr>
          <w:rFonts w:hint="eastAsia" w:ascii="宋体" w:hAnsi="宋体" w:eastAsia="宋体" w:cs="宋体"/>
          <w:sz w:val="24"/>
          <w:szCs w:val="24"/>
          <w:lang w:eastAsia="zh-CN"/>
        </w:rPr>
        <w:t>平潭直属分站</w:t>
      </w:r>
      <w:r>
        <w:rPr>
          <w:rFonts w:hint="eastAsia" w:ascii="宋体" w:hAnsi="宋体" w:eastAsia="宋体" w:cs="宋体"/>
          <w:sz w:val="24"/>
          <w:szCs w:val="24"/>
        </w:rPr>
        <w:t>工作的相关规章制度及保密制度。参与本项目的运维服务人员应具有从事无线电监测系统运维工作的经验，能熟练操作无线电监测设备，具备较强的事故判断和处理能力，工作认真负责，可单独开展各类型监测设备的故障测试，及时排除或定位故障。省无线电监测站</w:t>
      </w:r>
      <w:r>
        <w:rPr>
          <w:rFonts w:hint="eastAsia" w:ascii="宋体" w:hAnsi="宋体" w:eastAsia="宋体" w:cs="宋体"/>
          <w:sz w:val="24"/>
          <w:szCs w:val="24"/>
          <w:lang w:eastAsia="zh-CN"/>
        </w:rPr>
        <w:t>平潭直属分站</w:t>
      </w:r>
      <w:r>
        <w:rPr>
          <w:rFonts w:hint="eastAsia" w:ascii="宋体" w:hAnsi="宋体" w:eastAsia="宋体" w:cs="宋体"/>
          <w:sz w:val="24"/>
          <w:szCs w:val="24"/>
        </w:rPr>
        <w:t>有权对不满足工作要求的运维服务人员向</w:t>
      </w:r>
      <w:r>
        <w:rPr>
          <w:rFonts w:hint="eastAsia" w:ascii="宋体" w:hAnsi="宋体" w:eastAsia="宋体" w:cs="宋体"/>
          <w:sz w:val="24"/>
          <w:szCs w:val="24"/>
          <w:lang w:eastAsia="zh-CN"/>
        </w:rPr>
        <w:t>成交人</w:t>
      </w:r>
      <w:r>
        <w:rPr>
          <w:rFonts w:hint="eastAsia" w:ascii="宋体" w:hAnsi="宋体" w:eastAsia="宋体" w:cs="宋体"/>
          <w:sz w:val="24"/>
          <w:szCs w:val="24"/>
        </w:rPr>
        <w:t>提出更换的要求，如发现工作上有弄虚作假情况，省无线电监测站</w:t>
      </w:r>
      <w:r>
        <w:rPr>
          <w:rFonts w:hint="eastAsia" w:ascii="宋体" w:hAnsi="宋体" w:eastAsia="宋体" w:cs="宋体"/>
          <w:sz w:val="24"/>
          <w:szCs w:val="24"/>
          <w:lang w:eastAsia="zh-CN"/>
        </w:rPr>
        <w:t>平潭直属分站</w:t>
      </w:r>
      <w:r>
        <w:rPr>
          <w:rFonts w:hint="eastAsia" w:ascii="宋体" w:hAnsi="宋体" w:eastAsia="宋体" w:cs="宋体"/>
          <w:sz w:val="24"/>
          <w:szCs w:val="24"/>
        </w:rPr>
        <w:t>有权做出相应处理，直至终止合同并追究运维服务方相应责任。</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成交人</w:t>
      </w:r>
      <w:r>
        <w:rPr>
          <w:rFonts w:hint="eastAsia" w:ascii="宋体" w:hAnsi="宋体" w:eastAsia="宋体" w:cs="宋体"/>
          <w:sz w:val="24"/>
          <w:szCs w:val="24"/>
        </w:rPr>
        <w:t>应具备相应的数据管理能力，所有涉及无线电</w:t>
      </w:r>
      <w:r>
        <w:rPr>
          <w:rFonts w:hint="eastAsia" w:ascii="宋体" w:hAnsi="宋体" w:eastAsia="宋体" w:cs="宋体"/>
          <w:sz w:val="24"/>
          <w:szCs w:val="24"/>
          <w:lang w:eastAsia="zh-CN"/>
        </w:rPr>
        <w:t>技术</w:t>
      </w:r>
      <w:r>
        <w:rPr>
          <w:rFonts w:hint="eastAsia" w:ascii="宋体" w:hAnsi="宋体" w:eastAsia="宋体" w:cs="宋体"/>
          <w:sz w:val="24"/>
          <w:szCs w:val="24"/>
        </w:rPr>
        <w:t>设施相关信息以及运维服务时所记录、收集、整理、撰写的其他信息或文稿材料，仅限运维人员在运维现场内部使用，未经授权不得提供他人使用。在运维过程中运维服务人员做好的所有文档的记录和归档工作，包括各种形式的服务总结、工作汇报及技术方案等，提交给省无线电监测站</w:t>
      </w:r>
      <w:r>
        <w:rPr>
          <w:rFonts w:hint="eastAsia" w:ascii="宋体" w:hAnsi="宋体" w:eastAsia="宋体" w:cs="宋体"/>
          <w:sz w:val="24"/>
          <w:szCs w:val="24"/>
          <w:lang w:eastAsia="zh-CN"/>
        </w:rPr>
        <w:t>平潭直属分站</w:t>
      </w:r>
      <w:r>
        <w:rPr>
          <w:rFonts w:hint="eastAsia" w:ascii="宋体" w:hAnsi="宋体" w:eastAsia="宋体" w:cs="宋体"/>
          <w:sz w:val="24"/>
          <w:szCs w:val="24"/>
        </w:rPr>
        <w:t>确认。服务期结束后装订成册作为服务验收依据。</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2" w:firstLineChars="200"/>
        <w:textAlignment w:val="auto"/>
        <w:outlineLvl w:val="2"/>
      </w:pPr>
      <w:r>
        <w:rPr>
          <w:rStyle w:val="13"/>
          <w:rFonts w:hint="eastAsia" w:ascii="宋体" w:hAnsi="宋体" w:eastAsia="宋体" w:cs="宋体"/>
        </w:rPr>
        <w:t>（</w:t>
      </w:r>
      <w:r>
        <w:rPr>
          <w:rStyle w:val="13"/>
          <w:rFonts w:hint="eastAsia" w:ascii="宋体" w:hAnsi="宋体" w:eastAsia="宋体" w:cs="宋体"/>
          <w:lang w:eastAsia="zh-CN"/>
        </w:rPr>
        <w:t>六</w:t>
      </w:r>
      <w:r>
        <w:rPr>
          <w:rStyle w:val="13"/>
          <w:rFonts w:hint="eastAsia" w:ascii="宋体" w:hAnsi="宋体" w:eastAsia="宋体" w:cs="宋体"/>
        </w:rPr>
        <w:t>）运维服务考核要求</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lang w:eastAsia="zh-CN"/>
        </w:rPr>
        <w:t>成交</w:t>
      </w:r>
      <w:r>
        <w:rPr>
          <w:rFonts w:hint="eastAsia" w:ascii="宋体" w:hAnsi="宋体" w:eastAsia="宋体" w:cs="宋体"/>
          <w:sz w:val="24"/>
          <w:szCs w:val="24"/>
        </w:rPr>
        <w:t>人应接受</w:t>
      </w:r>
      <w:r>
        <w:rPr>
          <w:rFonts w:hint="eastAsia" w:ascii="宋体" w:hAnsi="宋体" w:eastAsia="宋体" w:cs="宋体"/>
          <w:sz w:val="24"/>
          <w:szCs w:val="24"/>
          <w:lang w:eastAsia="zh-CN"/>
        </w:rPr>
        <w:t>省无线电监测站平潭直属分站</w:t>
      </w:r>
      <w:r>
        <w:rPr>
          <w:rFonts w:hint="eastAsia" w:ascii="宋体" w:hAnsi="宋体" w:eastAsia="宋体" w:cs="宋体"/>
          <w:sz w:val="24"/>
          <w:szCs w:val="24"/>
        </w:rPr>
        <w:t>的运维服务考核管理，并依据省无线电监测站</w:t>
      </w:r>
      <w:r>
        <w:rPr>
          <w:rFonts w:hint="eastAsia" w:ascii="宋体" w:hAnsi="宋体" w:eastAsia="宋体" w:cs="宋体"/>
          <w:sz w:val="24"/>
          <w:szCs w:val="24"/>
          <w:lang w:eastAsia="zh-CN"/>
        </w:rPr>
        <w:t>平潭直属分站</w:t>
      </w:r>
      <w:r>
        <w:rPr>
          <w:rFonts w:hint="eastAsia" w:ascii="宋体" w:hAnsi="宋体" w:eastAsia="宋体" w:cs="宋体"/>
          <w:sz w:val="24"/>
          <w:szCs w:val="24"/>
        </w:rPr>
        <w:t>有关规定做好所承担的运维服务等工作，以提供优质的技术服务为目标，建立工作规范、服务流程和管理制度等。</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2" w:firstLineChars="200"/>
        <w:textAlignment w:val="auto"/>
        <w:outlineLvl w:val="3"/>
        <w:rPr>
          <w:rStyle w:val="13"/>
          <w:rFonts w:hint="eastAsia" w:ascii="宋体" w:hAnsi="宋体" w:eastAsia="宋体" w:cs="宋体"/>
        </w:rPr>
      </w:pPr>
      <w:r>
        <w:rPr>
          <w:rStyle w:val="13"/>
          <w:rFonts w:hint="eastAsia" w:ascii="宋体" w:hAnsi="宋体" w:eastAsia="宋体" w:cs="宋体"/>
        </w:rPr>
        <w:t>一、考核说明</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outlineLvl w:val="4"/>
        <w:rPr>
          <w:b/>
          <w:bCs/>
        </w:rPr>
      </w:pPr>
      <w:r>
        <w:rPr>
          <w:rFonts w:hint="eastAsia" w:ascii="宋体" w:hAnsi="宋体" w:eastAsia="宋体" w:cs="宋体"/>
          <w:b/>
          <w:bCs/>
          <w:sz w:val="24"/>
          <w:szCs w:val="24"/>
        </w:rPr>
        <w:t>1.年度代维考核评价办法</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65"/>
        <w:textAlignment w:val="auto"/>
      </w:pPr>
      <w:r>
        <w:rPr>
          <w:rFonts w:hint="eastAsia" w:ascii="宋体" w:hAnsi="宋体" w:eastAsia="宋体" w:cs="宋体"/>
          <w:sz w:val="24"/>
          <w:szCs w:val="24"/>
        </w:rPr>
        <w:t>1）年度代维服务考核综合得分在9</w:t>
      </w:r>
      <w:r>
        <w:rPr>
          <w:rFonts w:hint="eastAsia" w:ascii="宋体" w:hAnsi="宋体" w:eastAsia="宋体" w:cs="宋体"/>
          <w:sz w:val="24"/>
          <w:szCs w:val="24"/>
          <w:lang w:val="en-US" w:eastAsia="zh-CN"/>
        </w:rPr>
        <w:t>0</w:t>
      </w:r>
      <w:r>
        <w:rPr>
          <w:rFonts w:hint="eastAsia" w:ascii="宋体" w:hAnsi="宋体" w:eastAsia="宋体" w:cs="宋体"/>
          <w:sz w:val="24"/>
          <w:szCs w:val="24"/>
        </w:rPr>
        <w:t>分以上（含9</w:t>
      </w:r>
      <w:r>
        <w:rPr>
          <w:rFonts w:hint="eastAsia" w:ascii="宋体" w:hAnsi="宋体" w:eastAsia="宋体" w:cs="宋体"/>
          <w:sz w:val="24"/>
          <w:szCs w:val="24"/>
          <w:lang w:val="en-US" w:eastAsia="zh-CN"/>
        </w:rPr>
        <w:t>0</w:t>
      </w:r>
      <w:r>
        <w:rPr>
          <w:rFonts w:hint="eastAsia" w:ascii="宋体" w:hAnsi="宋体" w:eastAsia="宋体" w:cs="宋体"/>
          <w:sz w:val="24"/>
          <w:szCs w:val="24"/>
        </w:rPr>
        <w:t>分）为优秀；</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65"/>
        <w:textAlignment w:val="auto"/>
      </w:pPr>
      <w:r>
        <w:rPr>
          <w:rFonts w:hint="eastAsia" w:ascii="宋体" w:hAnsi="宋体" w:eastAsia="宋体" w:cs="宋体"/>
          <w:sz w:val="24"/>
          <w:szCs w:val="24"/>
        </w:rPr>
        <w:t>2）年度代维服务考核综合得分在80-</w:t>
      </w:r>
      <w:r>
        <w:rPr>
          <w:rFonts w:hint="eastAsia" w:ascii="宋体" w:hAnsi="宋体" w:eastAsia="宋体" w:cs="宋体"/>
          <w:sz w:val="24"/>
          <w:szCs w:val="24"/>
          <w:lang w:val="en-US" w:eastAsia="zh-CN"/>
        </w:rPr>
        <w:t>89</w:t>
      </w:r>
      <w:r>
        <w:rPr>
          <w:rFonts w:hint="eastAsia" w:ascii="宋体" w:hAnsi="宋体" w:eastAsia="宋体" w:cs="宋体"/>
          <w:sz w:val="24"/>
          <w:szCs w:val="24"/>
        </w:rPr>
        <w:t>分（含80分）为合格；</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65"/>
        <w:textAlignment w:val="auto"/>
        <w:rPr>
          <w:rFonts w:hint="eastAsia" w:ascii="宋体" w:hAnsi="宋体" w:eastAsia="宋体" w:cs="宋体"/>
          <w:sz w:val="24"/>
          <w:szCs w:val="24"/>
          <w:lang w:eastAsia="zh-CN"/>
        </w:rPr>
      </w:pPr>
      <w:r>
        <w:rPr>
          <w:rFonts w:hint="eastAsia" w:ascii="宋体" w:hAnsi="宋体" w:eastAsia="宋体" w:cs="宋体"/>
          <w:sz w:val="24"/>
          <w:szCs w:val="24"/>
        </w:rPr>
        <w:t>3）年度代维服务考核综合得分在80分以下（不含80分）为不合格</w:t>
      </w:r>
      <w:r>
        <w:rPr>
          <w:rFonts w:hint="eastAsia" w:ascii="宋体" w:hAnsi="宋体" w:eastAsia="宋体" w:cs="宋体"/>
          <w:sz w:val="24"/>
          <w:szCs w:val="24"/>
          <w:lang w:eastAsia="zh-CN"/>
        </w:rPr>
        <w:t>；</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6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年度代维服务考核综合得分</w:t>
      </w:r>
      <w:r>
        <w:rPr>
          <w:rFonts w:hint="eastAsia" w:ascii="宋体" w:hAnsi="宋体" w:eastAsia="宋体" w:cs="宋体"/>
          <w:sz w:val="24"/>
          <w:szCs w:val="24"/>
          <w:lang w:eastAsia="zh-CN"/>
        </w:rPr>
        <w:t>为每个周期期次的平均分。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outlineLvl w:val="4"/>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期次</w:t>
      </w:r>
      <w:r>
        <w:rPr>
          <w:rFonts w:hint="eastAsia" w:ascii="宋体" w:hAnsi="宋体" w:eastAsia="宋体" w:cs="宋体"/>
          <w:b/>
          <w:bCs/>
          <w:sz w:val="24"/>
          <w:szCs w:val="24"/>
        </w:rPr>
        <w:t>考核评价办法</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65"/>
        <w:textAlignment w:val="auto"/>
      </w:pPr>
      <w:r>
        <w:rPr>
          <w:rFonts w:hint="eastAsia" w:ascii="宋体" w:hAnsi="宋体" w:eastAsia="宋体" w:cs="宋体"/>
          <w:sz w:val="24"/>
          <w:szCs w:val="24"/>
        </w:rPr>
        <w:t>1）</w:t>
      </w:r>
      <w:r>
        <w:rPr>
          <w:rFonts w:hint="eastAsia" w:ascii="宋体" w:hAnsi="宋体" w:eastAsia="宋体" w:cs="宋体"/>
          <w:sz w:val="24"/>
          <w:szCs w:val="24"/>
          <w:lang w:eastAsia="zh-CN"/>
        </w:rPr>
        <w:t>期次</w:t>
      </w:r>
      <w:r>
        <w:rPr>
          <w:rFonts w:hint="eastAsia" w:ascii="宋体" w:hAnsi="宋体" w:eastAsia="宋体" w:cs="宋体"/>
          <w:sz w:val="24"/>
          <w:szCs w:val="24"/>
        </w:rPr>
        <w:t>考核得分在80分以上（含80分），满足运维服务工作要求，全额支付当季度运维费用；</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65"/>
        <w:textAlignment w:val="auto"/>
      </w:pPr>
      <w:r>
        <w:rPr>
          <w:rFonts w:hint="eastAsia" w:ascii="宋体" w:hAnsi="宋体" w:eastAsia="宋体" w:cs="宋体"/>
          <w:sz w:val="24"/>
          <w:szCs w:val="24"/>
        </w:rPr>
        <w:t>2）</w:t>
      </w:r>
      <w:r>
        <w:rPr>
          <w:rFonts w:hint="eastAsia" w:ascii="宋体" w:hAnsi="宋体" w:eastAsia="宋体" w:cs="宋体"/>
          <w:sz w:val="24"/>
          <w:szCs w:val="24"/>
          <w:lang w:eastAsia="zh-CN"/>
        </w:rPr>
        <w:t>期次</w:t>
      </w:r>
      <w:r>
        <w:rPr>
          <w:rFonts w:hint="eastAsia" w:ascii="宋体" w:hAnsi="宋体" w:eastAsia="宋体" w:cs="宋体"/>
          <w:sz w:val="24"/>
          <w:szCs w:val="24"/>
        </w:rPr>
        <w:t>考核得分在60-79分（含60分），部分工作无法满足运维服务工作要求，根据得分确认，低于80分的，每低1分，扣减当</w:t>
      </w:r>
      <w:r>
        <w:rPr>
          <w:rFonts w:hint="eastAsia" w:ascii="宋体" w:hAnsi="宋体" w:eastAsia="宋体" w:cs="宋体"/>
          <w:sz w:val="24"/>
          <w:szCs w:val="24"/>
          <w:lang w:eastAsia="zh-CN"/>
        </w:rPr>
        <w:t>期</w:t>
      </w:r>
      <w:r>
        <w:rPr>
          <w:rFonts w:hint="eastAsia" w:ascii="宋体" w:hAnsi="宋体" w:eastAsia="宋体" w:cs="宋体"/>
          <w:sz w:val="24"/>
          <w:szCs w:val="24"/>
        </w:rPr>
        <w:t>运维费用的2.5%，最多扣减50%；</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65"/>
        <w:textAlignment w:val="auto"/>
      </w:pPr>
      <w:r>
        <w:rPr>
          <w:rFonts w:hint="eastAsia" w:ascii="宋体" w:hAnsi="宋体" w:eastAsia="宋体" w:cs="宋体"/>
          <w:sz w:val="24"/>
          <w:szCs w:val="24"/>
        </w:rPr>
        <w:t>3）</w:t>
      </w:r>
      <w:r>
        <w:rPr>
          <w:rFonts w:hint="eastAsia" w:ascii="宋体" w:hAnsi="宋体" w:eastAsia="宋体" w:cs="宋体"/>
          <w:sz w:val="24"/>
          <w:szCs w:val="24"/>
          <w:lang w:eastAsia="zh-CN"/>
        </w:rPr>
        <w:t>期次</w:t>
      </w:r>
      <w:r>
        <w:rPr>
          <w:rFonts w:hint="eastAsia" w:ascii="宋体" w:hAnsi="宋体" w:eastAsia="宋体" w:cs="宋体"/>
          <w:sz w:val="24"/>
          <w:szCs w:val="24"/>
        </w:rPr>
        <w:t>考核得分在60分以下，完全无法满足运维服务工作要求，扣减当</w:t>
      </w:r>
      <w:r>
        <w:rPr>
          <w:rFonts w:hint="eastAsia" w:ascii="宋体" w:hAnsi="宋体" w:eastAsia="宋体" w:cs="宋体"/>
          <w:sz w:val="24"/>
          <w:szCs w:val="24"/>
          <w:lang w:eastAsia="zh-CN"/>
        </w:rPr>
        <w:t>期</w:t>
      </w:r>
      <w:r>
        <w:rPr>
          <w:rFonts w:hint="eastAsia" w:ascii="宋体" w:hAnsi="宋体" w:eastAsia="宋体" w:cs="宋体"/>
          <w:sz w:val="24"/>
          <w:szCs w:val="24"/>
        </w:rPr>
        <w:t>全部运维费用。</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firstLine="482" w:firstLineChars="200"/>
        <w:textAlignment w:val="auto"/>
        <w:outlineLvl w:val="3"/>
        <w:rPr>
          <w:rStyle w:val="13"/>
          <w:rFonts w:hint="eastAsia" w:ascii="宋体" w:hAnsi="宋体" w:eastAsia="宋体" w:cs="宋体"/>
        </w:rPr>
      </w:pPr>
      <w:r>
        <w:rPr>
          <w:rStyle w:val="13"/>
          <w:rFonts w:hint="eastAsia" w:ascii="宋体" w:hAnsi="宋体" w:eastAsia="宋体" w:cs="宋体"/>
        </w:rPr>
        <w:t>二、考核内容</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65"/>
        <w:textAlignment w:val="auto"/>
        <w:rPr>
          <w:rFonts w:hint="eastAsia" w:ascii="宋体" w:hAnsi="宋体" w:eastAsia="宋体" w:cs="宋体"/>
          <w:sz w:val="24"/>
          <w:szCs w:val="24"/>
        </w:rPr>
      </w:pPr>
      <w:r>
        <w:rPr>
          <w:rFonts w:hint="eastAsia" w:ascii="宋体" w:hAnsi="宋体" w:eastAsia="宋体" w:cs="宋体"/>
          <w:sz w:val="24"/>
          <w:szCs w:val="24"/>
        </w:rPr>
        <w:t>每个服务周期(三个月)服务结束后的15日内</w:t>
      </w:r>
      <w:r>
        <w:rPr>
          <w:rFonts w:hint="eastAsia" w:ascii="宋体" w:hAnsi="宋体" w:eastAsia="宋体" w:cs="宋体"/>
          <w:sz w:val="24"/>
          <w:szCs w:val="24"/>
          <w:lang w:eastAsia="zh-CN"/>
        </w:rPr>
        <w:t>成交人</w:t>
      </w:r>
      <w:r>
        <w:rPr>
          <w:rFonts w:hint="eastAsia" w:ascii="宋体" w:hAnsi="宋体" w:eastAsia="宋体" w:cs="宋体"/>
          <w:sz w:val="24"/>
          <w:szCs w:val="24"/>
        </w:rPr>
        <w:t>须提交一份满足要求的</w:t>
      </w:r>
      <w:r>
        <w:rPr>
          <w:rFonts w:hint="eastAsia" w:ascii="宋体" w:hAnsi="宋体" w:eastAsia="宋体" w:cs="宋体"/>
          <w:sz w:val="24"/>
          <w:szCs w:val="24"/>
          <w:lang w:eastAsia="zh-CN"/>
        </w:rPr>
        <w:t>周期运维</w:t>
      </w:r>
      <w:r>
        <w:rPr>
          <w:rFonts w:hint="eastAsia" w:ascii="宋体" w:hAnsi="宋体" w:eastAsia="宋体" w:cs="宋体"/>
          <w:sz w:val="24"/>
          <w:szCs w:val="24"/>
        </w:rPr>
        <w:t>服务材料，每个服务周期(三个月)</w:t>
      </w:r>
      <w:r>
        <w:rPr>
          <w:rFonts w:hint="eastAsia" w:ascii="宋体" w:hAnsi="宋体" w:eastAsia="宋体" w:cs="宋体"/>
          <w:sz w:val="24"/>
          <w:szCs w:val="24"/>
          <w:lang w:eastAsia="zh-CN"/>
        </w:rPr>
        <w:t>运维</w:t>
      </w:r>
      <w:r>
        <w:rPr>
          <w:rFonts w:hint="eastAsia" w:ascii="宋体" w:hAnsi="宋体" w:eastAsia="宋体" w:cs="宋体"/>
          <w:sz w:val="24"/>
          <w:szCs w:val="24"/>
        </w:rPr>
        <w:t>材料提交后的第一周内，采购人将按以下标准对服务情况进行考核，考核评价总分为100分</w:t>
      </w:r>
      <w:r>
        <w:rPr>
          <w:rFonts w:hint="eastAsia" w:ascii="宋体" w:hAnsi="宋体" w:eastAsia="宋体" w:cs="宋体"/>
          <w:sz w:val="24"/>
          <w:szCs w:val="24"/>
          <w:lang w:eastAsia="zh-CN"/>
        </w:rPr>
        <w:t>，</w:t>
      </w:r>
      <w:r>
        <w:rPr>
          <w:rFonts w:hint="eastAsia" w:ascii="宋体" w:hAnsi="宋体" w:eastAsia="宋体" w:cs="宋体"/>
          <w:sz w:val="24"/>
          <w:szCs w:val="24"/>
        </w:rPr>
        <w:t>主要分为：</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outlineLvl w:val="4"/>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定期</w:t>
      </w:r>
      <w:r>
        <w:rPr>
          <w:rFonts w:hint="eastAsia" w:ascii="宋体" w:hAnsi="宋体" w:eastAsia="宋体" w:cs="宋体"/>
          <w:b/>
          <w:bCs/>
          <w:sz w:val="24"/>
          <w:szCs w:val="24"/>
        </w:rPr>
        <w:t>巡检情况考核（</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0分）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lang w:eastAsia="zh-CN"/>
        </w:rPr>
        <w:t>成交人</w:t>
      </w:r>
      <w:r>
        <w:rPr>
          <w:rFonts w:hint="eastAsia" w:ascii="宋体" w:hAnsi="宋体" w:eastAsia="宋体" w:cs="宋体"/>
          <w:sz w:val="24"/>
          <w:szCs w:val="24"/>
        </w:rPr>
        <w:t>应根据服务周期要求按时</w:t>
      </w:r>
      <w:r>
        <w:rPr>
          <w:rFonts w:hint="eastAsia" w:ascii="宋体" w:hAnsi="宋体" w:eastAsia="宋体" w:cs="宋体"/>
          <w:sz w:val="24"/>
          <w:szCs w:val="24"/>
          <w:lang w:eastAsia="zh-CN"/>
        </w:rPr>
        <w:t>完成定期巡检工作，并</w:t>
      </w:r>
      <w:r>
        <w:rPr>
          <w:rFonts w:hint="eastAsia" w:ascii="宋体" w:hAnsi="宋体" w:eastAsia="宋体" w:cs="宋体"/>
          <w:sz w:val="24"/>
          <w:szCs w:val="24"/>
        </w:rPr>
        <w:t>提交巡检相关的报表、报告、日志记录、统计分析、评测报告等材料。</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考核要求和扣分标准如下：</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eastAsia="zh-CN"/>
        </w:rPr>
        <w:t>定期</w:t>
      </w:r>
      <w:r>
        <w:rPr>
          <w:rFonts w:hint="eastAsia" w:ascii="宋体" w:hAnsi="宋体" w:eastAsia="宋体" w:cs="宋体"/>
          <w:sz w:val="24"/>
          <w:szCs w:val="24"/>
        </w:rPr>
        <w:t>巡检工作情况考核（分值</w:t>
      </w:r>
      <w:r>
        <w:rPr>
          <w:rFonts w:hint="eastAsia" w:ascii="宋体" w:hAnsi="宋体" w:eastAsia="宋体" w:cs="宋体"/>
          <w:sz w:val="24"/>
          <w:szCs w:val="24"/>
          <w:lang w:val="en-US" w:eastAsia="zh-CN"/>
        </w:rPr>
        <w:t>2</w:t>
      </w:r>
      <w:r>
        <w:rPr>
          <w:rFonts w:hint="eastAsia" w:ascii="宋体" w:hAnsi="宋体" w:eastAsia="宋体" w:cs="宋体"/>
          <w:sz w:val="24"/>
          <w:szCs w:val="24"/>
        </w:rPr>
        <w:t>0分）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①逾期未进行</w:t>
      </w:r>
      <w:r>
        <w:rPr>
          <w:rFonts w:hint="eastAsia" w:ascii="宋体" w:hAnsi="宋体" w:eastAsia="宋体" w:cs="宋体"/>
          <w:sz w:val="24"/>
          <w:szCs w:val="24"/>
          <w:lang w:eastAsia="zh-CN"/>
        </w:rPr>
        <w:t>定期</w:t>
      </w:r>
      <w:r>
        <w:rPr>
          <w:rFonts w:hint="eastAsia" w:ascii="宋体" w:hAnsi="宋体" w:eastAsia="宋体" w:cs="宋体"/>
          <w:sz w:val="24"/>
          <w:szCs w:val="24"/>
        </w:rPr>
        <w:t>巡检的，每个站扣1分；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②逾期超过10天仍未进行</w:t>
      </w:r>
      <w:r>
        <w:rPr>
          <w:rFonts w:hint="eastAsia" w:ascii="宋体" w:hAnsi="宋体" w:eastAsia="宋体" w:cs="宋体"/>
          <w:sz w:val="24"/>
          <w:szCs w:val="24"/>
          <w:lang w:eastAsia="zh-CN"/>
        </w:rPr>
        <w:t>定期</w:t>
      </w:r>
      <w:r>
        <w:rPr>
          <w:rFonts w:hint="eastAsia" w:ascii="宋体" w:hAnsi="宋体" w:eastAsia="宋体" w:cs="宋体"/>
          <w:sz w:val="24"/>
          <w:szCs w:val="24"/>
        </w:rPr>
        <w:t>巡检的，每个站的扣5分；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③</w:t>
      </w:r>
      <w:r>
        <w:rPr>
          <w:rFonts w:hint="eastAsia" w:ascii="宋体" w:hAnsi="宋体" w:eastAsia="宋体" w:cs="宋体"/>
          <w:sz w:val="24"/>
          <w:szCs w:val="24"/>
          <w:lang w:eastAsia="zh-CN"/>
        </w:rPr>
        <w:t>定期</w:t>
      </w:r>
      <w:r>
        <w:rPr>
          <w:rFonts w:hint="eastAsia" w:ascii="宋体" w:hAnsi="宋体" w:eastAsia="宋体" w:cs="宋体"/>
          <w:sz w:val="24"/>
          <w:szCs w:val="24"/>
        </w:rPr>
        <w:t>巡检工作事项未完成的，每发现一项扣2分；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④</w:t>
      </w:r>
      <w:r>
        <w:rPr>
          <w:rFonts w:hint="eastAsia" w:ascii="宋体" w:hAnsi="宋体" w:eastAsia="宋体" w:cs="宋体"/>
          <w:sz w:val="24"/>
          <w:szCs w:val="24"/>
          <w:lang w:eastAsia="zh-CN"/>
        </w:rPr>
        <w:t>定期</w:t>
      </w:r>
      <w:r>
        <w:rPr>
          <w:rFonts w:hint="eastAsia" w:ascii="宋体" w:hAnsi="宋体" w:eastAsia="宋体" w:cs="宋体"/>
          <w:sz w:val="24"/>
          <w:szCs w:val="24"/>
        </w:rPr>
        <w:t>巡检弄虚作假的，每发现一次扣10分。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）材料和报告提交情况考核（分值10分）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①逾期提交的每次扣1分；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②逾期超过5天仍未提交的扣5分；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③材料编制不规范且存在错误每发现一次扣2分；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④提交的材料每少一份扣1分；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⑤提交的材料报告作假的，每发现一次扣5分。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outlineLvl w:val="4"/>
        <w:rPr>
          <w:rFonts w:hint="eastAsia" w:ascii="宋体" w:hAnsi="宋体" w:eastAsia="宋体" w:cs="宋体"/>
          <w:b/>
          <w:bCs/>
          <w:sz w:val="24"/>
          <w:szCs w:val="24"/>
        </w:rPr>
      </w:pPr>
      <w:r>
        <w:rPr>
          <w:rFonts w:hint="eastAsia" w:ascii="宋体" w:hAnsi="宋体" w:eastAsia="宋体" w:cs="宋体"/>
          <w:b/>
          <w:bCs/>
          <w:sz w:val="24"/>
          <w:szCs w:val="24"/>
        </w:rPr>
        <w:t>2.日常检查情况考核（2</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lang w:eastAsia="zh-CN"/>
        </w:rPr>
        <w:t>成交人</w:t>
      </w:r>
      <w:r>
        <w:rPr>
          <w:rFonts w:hint="eastAsia" w:ascii="宋体" w:hAnsi="宋体" w:eastAsia="宋体" w:cs="宋体"/>
          <w:sz w:val="24"/>
          <w:szCs w:val="24"/>
        </w:rPr>
        <w:t>应根据服务周期要求按规定完成站点的日常检查工作</w:t>
      </w:r>
      <w:r>
        <w:rPr>
          <w:rFonts w:hint="eastAsia" w:ascii="宋体" w:hAnsi="宋体" w:eastAsia="宋体" w:cs="宋体"/>
          <w:sz w:val="24"/>
          <w:szCs w:val="24"/>
          <w:lang w:eastAsia="zh-CN"/>
        </w:rPr>
        <w:t>，并</w:t>
      </w:r>
      <w:r>
        <w:rPr>
          <w:rFonts w:hint="eastAsia" w:ascii="宋体" w:hAnsi="宋体" w:eastAsia="宋体" w:cs="宋体"/>
          <w:sz w:val="24"/>
          <w:szCs w:val="24"/>
        </w:rPr>
        <w:t>按时提交日常检查相关的报表、报告、日志记录、统计分析、评测报告等材料。</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考核要求和扣分标准如下：</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）日常检查工作情况考核（分值1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①逾期未进行日常检查的，每个站扣1分；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②逾期超过10天仍未进行日常检查的，每个站的扣5分；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③日常检查工作事项未完成的，每发现一项扣2分；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④日常检查弄虚作假的，每发现一次扣10分。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）材料和报告提交情况考核（分值10分）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①逾期提交的每次扣1分；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②逾期超过5天仍未提交的扣5分；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③材料编制不规范且存在错误每发现一次扣2分；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④提交的材料每少一份扣1分；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⑤提交的材料报告作假的，每发现一次扣5分。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outlineLvl w:val="4"/>
        <w:rPr>
          <w:rFonts w:hint="eastAsia" w:ascii="宋体" w:hAnsi="宋体" w:eastAsia="宋体" w:cs="宋体"/>
          <w:b/>
          <w:bCs/>
          <w:sz w:val="24"/>
          <w:szCs w:val="24"/>
        </w:rPr>
      </w:pPr>
      <w:r>
        <w:rPr>
          <w:rFonts w:hint="eastAsia" w:ascii="宋体" w:hAnsi="宋体" w:eastAsia="宋体" w:cs="宋体"/>
          <w:b/>
          <w:bCs/>
          <w:sz w:val="24"/>
          <w:szCs w:val="24"/>
        </w:rPr>
        <w:t>3.应急及重大活动保障运维情况考核（10分）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中标人应根据实际的应急及重大活动保障运维需求，按要求完成运维保障服务，并提交相应的材料、报表、预案、措施等材料。</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考核要求和扣分标准如下：</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（1）材料和报告提交情况考核（分值5分）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①逾期提交的每次扣1分；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②逾期超过5天仍未提交的扣3分；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③材料编制不规范且存在错误每发现一次扣2分；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④提交的材料每少一份扣1分；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⑤提交的材料报告作假的，每发现一次扣5分。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（2）应急维护及重大活动保障工作情况考核（分值5分）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①未做好应急维护工作的，每次扣1分；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②未按时完成灾后恢复工作的，每次扣2分；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③重大活动保障提供的服务不到位，每次扣1分；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④未做好专项巡检工作的，每次扣2分。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outlineLvl w:val="4"/>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.故障排查及维修服务情况考核（2</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中标人应根据设备故障处置维修响应级别规定的时间及时进行故障排查维修，并按要求提供相关故障排查分析、解决、处理等报告材料。</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考核要求和扣分标准如下：</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）故障排查及维修服务工作情况考核（分值1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①故障发生后响应不及时的，每次扣1分；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②故障发生后未按要求到达现场处理的，每次扣2分；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③故障发生后未按要求处理和解决故障的，每次扣3分；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）故障材料、报告提交情况考核（分值</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①逾期提交的每次扣1分；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②逾期超过5天仍未提交的扣3分；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③材料编制不规范且存在错误每发现一次扣2分；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④提交的材料报告作假的，每发现一次扣5分。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outlineLvl w:val="4"/>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5.运维服务抽查考核（10分）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lang w:eastAsia="zh-CN"/>
        </w:rPr>
        <w:t>成交人</w:t>
      </w:r>
      <w:r>
        <w:rPr>
          <w:rFonts w:hint="eastAsia" w:ascii="宋体" w:hAnsi="宋体" w:eastAsia="宋体" w:cs="宋体"/>
          <w:sz w:val="24"/>
          <w:szCs w:val="24"/>
        </w:rPr>
        <w:t>应根据服务要求及时处理好故障问题，保证设备系统运行完好率，采购人抽查设备的完好率。</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考核要求和扣分标准如下：</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（1）全年设备完好率考核（分值10分）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①中标人每个季度上报设备完好率，完好率低于90%的，每次扣1分；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②经抽查后完好率未达90%的，完好率每下降2个百分点扣1分；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③采购人抽查后每发现一次完好率未达90%的，每次扣2分；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备注：由于进口设备、天线故障及运营商原因导致的网络故障等情况，且经采购人同意后正在维修的故障情况，不计入完好率考核。</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outlineLvl w:val="4"/>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6.运维服务态度情况考核（5分）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考核要求和扣分标准如下：</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服务态度情况考核（分值</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①服务态度原因发生用户投诉的，每次扣1分；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②参与协助配合的服务工作不积极或接受服务任务讨价还价的，每次扣3分；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③提供维护服务工作态度差，服务热情低的，每次扣1分；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④不服从采购人管理的，扣5分。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outlineLvl w:val="4"/>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7.服务单位遵守规章情况考核（5分）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考核要求和扣分标准如下：</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遵守规章情况考核（分值10分）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①违反安全、保密管理规定的，每次扣2分；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②未遵守采购人的规章制度和工作守则的，每次扣1分；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③未做好机房环境卫生和安全等日常管理和应急事项的紧急处置，每次扣2分；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④安全管理未落实到位的，每次扣1分；</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⑤每发现一次违反采购人工作规则的，每次扣2分。</w:t>
      </w:r>
    </w:p>
    <w:p>
      <w:pPr>
        <w:pStyle w:val="9"/>
        <w:wordWrap w:val="0"/>
        <w:spacing w:beforeAutospacing="0" w:afterAutospacing="0" w:line="360" w:lineRule="auto"/>
        <w:outlineLvl w:val="1"/>
        <w:rPr>
          <w:rFonts w:ascii="宋体" w:hAnsi="宋体" w:eastAsia="宋体" w:cs="宋体"/>
          <w:b/>
          <w:bCs/>
          <w:color w:val="000000"/>
        </w:rPr>
      </w:pPr>
      <w:r>
        <w:rPr>
          <w:rFonts w:hint="eastAsia" w:ascii="宋体" w:hAnsi="宋体" w:eastAsia="宋体" w:cs="宋体"/>
          <w:b/>
          <w:bCs/>
          <w:color w:val="000000"/>
        </w:rPr>
        <w:t>三、商务条件</w:t>
      </w:r>
    </w:p>
    <w:p>
      <w:pPr>
        <w:pStyle w:val="9"/>
        <w:wordWrap w:val="0"/>
        <w:spacing w:beforeAutospacing="0" w:afterAutospacing="0" w:line="360" w:lineRule="auto"/>
        <w:outlineLvl w:val="2"/>
        <w:rPr>
          <w:rFonts w:ascii="宋体" w:hAnsi="宋体" w:eastAsia="宋体" w:cs="宋体"/>
          <w:b/>
          <w:bCs/>
          <w:color w:val="000000"/>
        </w:rPr>
      </w:pPr>
      <w:r>
        <w:rPr>
          <w:rFonts w:hint="eastAsia" w:ascii="宋体" w:hAnsi="宋体" w:eastAsia="宋体" w:cs="宋体"/>
          <w:b/>
          <w:bCs/>
          <w:color w:val="000000"/>
        </w:rPr>
        <w:t>1.交付地点：</w:t>
      </w:r>
      <w:r>
        <w:rPr>
          <w:rFonts w:hint="eastAsia" w:ascii="宋体" w:hAnsi="宋体" w:cs="宋体"/>
          <w:b/>
          <w:bCs/>
          <w:color w:val="000000"/>
        </w:rPr>
        <w:t>采购人指定地点</w:t>
      </w:r>
    </w:p>
    <w:p>
      <w:pPr>
        <w:pStyle w:val="9"/>
        <w:wordWrap w:val="0"/>
        <w:spacing w:beforeAutospacing="0" w:afterAutospacing="0" w:line="360" w:lineRule="auto"/>
        <w:outlineLvl w:val="2"/>
        <w:rPr>
          <w:rFonts w:ascii="宋体" w:hAnsi="宋体" w:eastAsia="宋体" w:cs="宋体"/>
          <w:b/>
          <w:bCs/>
          <w:color w:val="000000"/>
        </w:rPr>
      </w:pPr>
      <w:r>
        <w:rPr>
          <w:rFonts w:hint="eastAsia" w:ascii="宋体" w:hAnsi="宋体" w:eastAsia="宋体" w:cs="宋体"/>
          <w:b/>
          <w:bCs/>
          <w:color w:val="000000"/>
        </w:rPr>
        <w:t>2.交付时间：</w:t>
      </w:r>
      <w:r>
        <w:rPr>
          <w:rFonts w:hint="eastAsia" w:ascii="宋体" w:hAnsi="宋体" w:cs="宋体"/>
          <w:b/>
          <w:bCs/>
          <w:color w:val="000000"/>
        </w:rPr>
        <w:t>合同签订后维护服务期自202</w:t>
      </w:r>
      <w:r>
        <w:rPr>
          <w:rFonts w:hint="eastAsia" w:ascii="宋体" w:hAnsi="宋体" w:cs="宋体"/>
          <w:b/>
          <w:bCs/>
          <w:color w:val="000000"/>
          <w:lang w:val="en-US" w:eastAsia="zh-CN"/>
        </w:rPr>
        <w:t>4</w:t>
      </w:r>
      <w:r>
        <w:rPr>
          <w:rFonts w:hint="eastAsia" w:ascii="宋体" w:hAnsi="宋体" w:cs="宋体"/>
          <w:b/>
          <w:bCs/>
          <w:color w:val="000000"/>
        </w:rPr>
        <w:t>年6月1日至202</w:t>
      </w:r>
      <w:r>
        <w:rPr>
          <w:rFonts w:hint="eastAsia" w:ascii="宋体" w:hAnsi="宋体" w:cs="宋体"/>
          <w:b/>
          <w:bCs/>
          <w:color w:val="000000"/>
          <w:lang w:val="en-US" w:eastAsia="zh-CN"/>
        </w:rPr>
        <w:t>5</w:t>
      </w:r>
      <w:r>
        <w:rPr>
          <w:rFonts w:hint="eastAsia" w:ascii="宋体" w:hAnsi="宋体" w:cs="宋体"/>
          <w:b/>
          <w:bCs/>
          <w:color w:val="000000"/>
        </w:rPr>
        <w:t>年5月31日</w:t>
      </w:r>
    </w:p>
    <w:p>
      <w:pPr>
        <w:pStyle w:val="9"/>
        <w:wordWrap w:val="0"/>
        <w:spacing w:beforeAutospacing="0" w:afterAutospacing="0" w:line="360" w:lineRule="auto"/>
        <w:outlineLvl w:val="2"/>
        <w:rPr>
          <w:rFonts w:ascii="宋体" w:hAnsi="宋体" w:eastAsia="宋体" w:cs="宋体"/>
          <w:b/>
          <w:bCs/>
          <w:color w:val="000000"/>
        </w:rPr>
      </w:pPr>
      <w:r>
        <w:rPr>
          <w:rFonts w:hint="eastAsia" w:ascii="宋体" w:hAnsi="宋体" w:eastAsia="宋体" w:cs="宋体"/>
          <w:b/>
          <w:bCs/>
          <w:color w:val="000000"/>
        </w:rPr>
        <w:t>3.交付条件：完成</w:t>
      </w:r>
      <w:r>
        <w:rPr>
          <w:rFonts w:hint="eastAsia" w:ascii="宋体" w:hAnsi="宋体" w:cs="宋体"/>
          <w:b/>
          <w:bCs/>
          <w:color w:val="000000"/>
        </w:rPr>
        <w:t>年度</w:t>
      </w:r>
      <w:r>
        <w:rPr>
          <w:rFonts w:hint="eastAsia" w:ascii="宋体" w:hAnsi="宋体" w:eastAsia="宋体" w:cs="宋体"/>
          <w:b/>
          <w:bCs/>
          <w:color w:val="000000"/>
        </w:rPr>
        <w:t>维护工作，提供</w:t>
      </w:r>
      <w:r>
        <w:rPr>
          <w:rFonts w:hint="eastAsia" w:ascii="宋体" w:hAnsi="宋体" w:cs="宋体"/>
          <w:b/>
          <w:bCs/>
          <w:color w:val="000000"/>
        </w:rPr>
        <w:t>年度服务</w:t>
      </w:r>
      <w:r>
        <w:rPr>
          <w:rFonts w:hint="eastAsia" w:ascii="宋体" w:hAnsi="宋体" w:eastAsia="宋体" w:cs="宋体"/>
          <w:b/>
          <w:bCs/>
          <w:color w:val="000000"/>
        </w:rPr>
        <w:t>报告</w:t>
      </w:r>
    </w:p>
    <w:p>
      <w:pPr>
        <w:pStyle w:val="9"/>
        <w:wordWrap w:val="0"/>
        <w:spacing w:beforeAutospacing="0" w:afterAutospacing="0" w:line="360" w:lineRule="auto"/>
        <w:outlineLvl w:val="2"/>
        <w:rPr>
          <w:rFonts w:ascii="宋体" w:hAnsi="宋体" w:eastAsia="宋体" w:cs="宋体"/>
          <w:b/>
          <w:bCs/>
          <w:color w:val="000000"/>
        </w:rPr>
      </w:pPr>
      <w:r>
        <w:rPr>
          <w:rFonts w:hint="eastAsia" w:ascii="宋体" w:hAnsi="宋体" w:eastAsia="宋体" w:cs="宋体"/>
          <w:b/>
          <w:bCs/>
          <w:color w:val="000000"/>
        </w:rPr>
        <w:t>4.是否收取履约保证金：否</w:t>
      </w:r>
    </w:p>
    <w:p>
      <w:pPr>
        <w:pStyle w:val="9"/>
        <w:wordWrap w:val="0"/>
        <w:spacing w:beforeAutospacing="0" w:afterAutospacing="0" w:line="360" w:lineRule="auto"/>
        <w:outlineLvl w:val="2"/>
        <w:rPr>
          <w:rFonts w:ascii="宋体" w:hAnsi="宋体" w:eastAsia="宋体" w:cs="宋体"/>
          <w:b/>
          <w:bCs/>
          <w:color w:val="000000"/>
        </w:rPr>
      </w:pPr>
      <w:r>
        <w:rPr>
          <w:rFonts w:hint="eastAsia" w:ascii="宋体" w:hAnsi="宋体" w:eastAsia="宋体" w:cs="宋体"/>
          <w:b/>
          <w:bCs/>
          <w:color w:val="000000"/>
        </w:rPr>
        <w:t>5.是否邀请投标人参与验收：否</w:t>
      </w:r>
    </w:p>
    <w:p>
      <w:pPr>
        <w:pStyle w:val="9"/>
        <w:wordWrap w:val="0"/>
        <w:spacing w:beforeAutospacing="0" w:afterAutospacing="0" w:line="360" w:lineRule="auto"/>
        <w:outlineLvl w:val="2"/>
        <w:rPr>
          <w:rFonts w:ascii="宋体" w:hAnsi="宋体" w:eastAsia="宋体" w:cs="宋体"/>
          <w:b/>
          <w:bCs/>
          <w:color w:val="000000"/>
        </w:rPr>
      </w:pPr>
      <w:r>
        <w:rPr>
          <w:rFonts w:hint="eastAsia" w:ascii="宋体" w:hAnsi="宋体" w:eastAsia="宋体" w:cs="宋体"/>
          <w:b/>
          <w:bCs/>
          <w:color w:val="000000"/>
        </w:rPr>
        <w:t>6.验收方式数据表格</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03"/>
        <w:gridCol w:w="7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3" w:type="pct"/>
            <w:vAlign w:val="center"/>
          </w:tcPr>
          <w:p>
            <w:pPr>
              <w:wordWrap w:val="0"/>
              <w:spacing w:line="360" w:lineRule="auto"/>
              <w:jc w:val="center"/>
              <w:rPr>
                <w:rFonts w:ascii="宋体" w:hAnsi="宋体" w:eastAsia="宋体" w:cs="宋体"/>
                <w:color w:val="000000"/>
                <w:sz w:val="24"/>
              </w:rPr>
            </w:pPr>
            <w:r>
              <w:rPr>
                <w:rFonts w:hint="eastAsia" w:ascii="宋体" w:hAnsi="宋体" w:eastAsia="宋体" w:cs="宋体"/>
                <w:color w:val="000000"/>
                <w:kern w:val="0"/>
                <w:sz w:val="24"/>
              </w:rPr>
              <w:t>验收期次</w:t>
            </w:r>
          </w:p>
        </w:tc>
        <w:tc>
          <w:tcPr>
            <w:tcW w:w="4396" w:type="pct"/>
            <w:vAlign w:val="center"/>
          </w:tcPr>
          <w:p>
            <w:pPr>
              <w:wordWrap w:val="0"/>
              <w:spacing w:line="360" w:lineRule="auto"/>
              <w:jc w:val="center"/>
              <w:rPr>
                <w:rFonts w:ascii="宋体" w:hAnsi="宋体" w:eastAsia="宋体" w:cs="宋体"/>
                <w:color w:val="000000"/>
                <w:sz w:val="24"/>
              </w:rPr>
            </w:pPr>
            <w:r>
              <w:rPr>
                <w:rFonts w:hint="eastAsia" w:ascii="宋体" w:hAnsi="宋体" w:eastAsia="宋体" w:cs="宋体"/>
                <w:color w:val="000000"/>
                <w:kern w:val="0"/>
                <w:sz w:val="24"/>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3" w:type="pct"/>
            <w:vAlign w:val="center"/>
          </w:tcPr>
          <w:p>
            <w:pPr>
              <w:wordWrap w:val="0"/>
              <w:spacing w:line="360" w:lineRule="auto"/>
              <w:jc w:val="center"/>
              <w:rPr>
                <w:rFonts w:ascii="宋体" w:hAnsi="宋体" w:eastAsia="宋体" w:cs="宋体"/>
                <w:color w:val="000000"/>
                <w:sz w:val="24"/>
              </w:rPr>
            </w:pPr>
            <w:r>
              <w:rPr>
                <w:rFonts w:hint="eastAsia" w:ascii="宋体" w:hAnsi="宋体" w:cs="宋体"/>
                <w:color w:val="000000"/>
                <w:sz w:val="24"/>
              </w:rPr>
              <w:t>1</w:t>
            </w:r>
          </w:p>
        </w:tc>
        <w:tc>
          <w:tcPr>
            <w:tcW w:w="4396" w:type="pct"/>
            <w:vAlign w:val="center"/>
          </w:tcPr>
          <w:p>
            <w:pPr>
              <w:pStyle w:val="9"/>
              <w:wordWrap w:val="0"/>
              <w:spacing w:beforeAutospacing="0" w:afterAutospacing="0" w:line="360" w:lineRule="auto"/>
              <w:rPr>
                <w:rFonts w:ascii="宋体" w:hAnsi="宋体" w:eastAsia="宋体" w:cs="宋体"/>
                <w:color w:val="000000"/>
              </w:rPr>
            </w:pPr>
            <w:r>
              <w:rPr>
                <w:rFonts w:hint="eastAsia" w:ascii="宋体" w:hAnsi="宋体" w:cs="宋体"/>
                <w:color w:val="000000"/>
                <w:shd w:val="clear" w:color="auto" w:fill="FFFFFF"/>
              </w:rPr>
              <w:t>第一个服务周期（三个月）结束后的15天内成交人应提交季度运维服务材料，采购人</w:t>
            </w:r>
            <w:r>
              <w:rPr>
                <w:rFonts w:hint="eastAsia" w:ascii="宋体" w:hAnsi="宋体" w:eastAsia="宋体" w:cs="宋体"/>
                <w:color w:val="000000"/>
              </w:rPr>
              <w:t>根据运维服务考核要求进行考核。第一</w:t>
            </w:r>
            <w:r>
              <w:rPr>
                <w:rFonts w:hint="eastAsia" w:ascii="宋体" w:hAnsi="宋体" w:cs="宋体"/>
                <w:color w:val="000000"/>
              </w:rPr>
              <w:t>期（三个月）服务</w:t>
            </w:r>
            <w:r>
              <w:rPr>
                <w:rFonts w:hint="eastAsia" w:ascii="宋体" w:hAnsi="宋体" w:eastAsia="宋体" w:cs="宋体"/>
                <w:color w:val="000000"/>
              </w:rPr>
              <w:t>考核得分在80分以上（含80分）的视为季度考核合格。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3" w:type="pct"/>
            <w:vAlign w:val="center"/>
          </w:tcPr>
          <w:p>
            <w:pPr>
              <w:wordWrap w:val="0"/>
              <w:spacing w:line="360" w:lineRule="auto"/>
              <w:jc w:val="center"/>
              <w:rPr>
                <w:rFonts w:ascii="宋体" w:hAnsi="宋体" w:eastAsia="宋体" w:cs="宋体"/>
                <w:color w:val="000000"/>
                <w:sz w:val="24"/>
              </w:rPr>
            </w:pPr>
            <w:r>
              <w:rPr>
                <w:rFonts w:hint="eastAsia" w:ascii="宋体" w:hAnsi="宋体" w:eastAsia="宋体" w:cs="宋体"/>
                <w:color w:val="000000"/>
                <w:kern w:val="0"/>
                <w:sz w:val="24"/>
              </w:rPr>
              <w:t>2</w:t>
            </w:r>
          </w:p>
        </w:tc>
        <w:tc>
          <w:tcPr>
            <w:tcW w:w="4396" w:type="pct"/>
            <w:vAlign w:val="center"/>
          </w:tcPr>
          <w:p>
            <w:pPr>
              <w:wordWrap w:val="0"/>
              <w:spacing w:line="360" w:lineRule="auto"/>
              <w:jc w:val="left"/>
              <w:rPr>
                <w:rFonts w:ascii="宋体" w:hAnsi="宋体" w:eastAsia="宋体" w:cs="宋体"/>
                <w:color w:val="000000"/>
                <w:sz w:val="24"/>
              </w:rPr>
            </w:pPr>
            <w:r>
              <w:rPr>
                <w:rFonts w:hint="eastAsia" w:ascii="宋体" w:hAnsi="宋体" w:cs="宋体"/>
                <w:color w:val="000000"/>
                <w:sz w:val="24"/>
                <w:shd w:val="clear" w:color="auto" w:fill="FFFFFF"/>
              </w:rPr>
              <w:t>第二个服务周期（三个月）结束后的15天内成交人应提交季度运维服务材料，采购人</w:t>
            </w:r>
            <w:r>
              <w:rPr>
                <w:rFonts w:hint="eastAsia" w:ascii="宋体" w:hAnsi="宋体" w:eastAsia="宋体" w:cs="宋体"/>
                <w:color w:val="000000"/>
                <w:kern w:val="0"/>
                <w:sz w:val="24"/>
              </w:rPr>
              <w:t>根据运维服务考核要求进行考核。第</w:t>
            </w:r>
            <w:r>
              <w:rPr>
                <w:rFonts w:hint="eastAsia" w:ascii="宋体" w:hAnsi="宋体" w:cs="宋体"/>
                <w:color w:val="000000"/>
                <w:kern w:val="0"/>
                <w:sz w:val="24"/>
              </w:rPr>
              <w:t>二期（三个月）服务</w:t>
            </w:r>
            <w:r>
              <w:rPr>
                <w:rFonts w:hint="eastAsia" w:ascii="宋体" w:hAnsi="宋体" w:eastAsia="宋体" w:cs="宋体"/>
                <w:color w:val="000000"/>
                <w:kern w:val="0"/>
                <w:sz w:val="24"/>
              </w:rPr>
              <w:t>考核得分在80分以上（含80分）的视为季度考核合格。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3" w:type="pct"/>
            <w:vAlign w:val="center"/>
          </w:tcPr>
          <w:p>
            <w:pPr>
              <w:wordWrap w:val="0"/>
              <w:spacing w:line="360" w:lineRule="auto"/>
              <w:jc w:val="center"/>
              <w:rPr>
                <w:rFonts w:ascii="宋体" w:hAnsi="宋体" w:eastAsia="宋体" w:cs="宋体"/>
                <w:color w:val="000000"/>
                <w:kern w:val="0"/>
                <w:sz w:val="24"/>
              </w:rPr>
            </w:pPr>
            <w:r>
              <w:rPr>
                <w:rFonts w:hint="eastAsia" w:ascii="宋体" w:hAnsi="宋体" w:cs="宋体"/>
                <w:color w:val="000000"/>
                <w:kern w:val="0"/>
                <w:sz w:val="24"/>
              </w:rPr>
              <w:t>3</w:t>
            </w:r>
          </w:p>
        </w:tc>
        <w:tc>
          <w:tcPr>
            <w:tcW w:w="4396" w:type="pct"/>
            <w:vAlign w:val="center"/>
          </w:tcPr>
          <w:p>
            <w:pPr>
              <w:wordWrap w:val="0"/>
              <w:spacing w:line="360" w:lineRule="auto"/>
              <w:jc w:val="left"/>
              <w:rPr>
                <w:rFonts w:ascii="宋体" w:hAnsi="宋体" w:eastAsia="宋体" w:cs="宋体"/>
                <w:color w:val="000000"/>
                <w:kern w:val="0"/>
                <w:sz w:val="24"/>
              </w:rPr>
            </w:pPr>
            <w:r>
              <w:rPr>
                <w:rFonts w:hint="eastAsia" w:ascii="宋体" w:hAnsi="宋体" w:cs="宋体"/>
                <w:color w:val="000000"/>
                <w:sz w:val="24"/>
                <w:shd w:val="clear" w:color="auto" w:fill="FFFFFF"/>
              </w:rPr>
              <w:t>第三个服务周期（三个月）结束后的15天内成交人应提交季度运维服务材料，采购人</w:t>
            </w:r>
            <w:r>
              <w:rPr>
                <w:rFonts w:hint="eastAsia" w:ascii="宋体" w:hAnsi="宋体" w:eastAsia="宋体" w:cs="宋体"/>
                <w:color w:val="000000"/>
                <w:kern w:val="0"/>
                <w:sz w:val="24"/>
              </w:rPr>
              <w:t>根据运维服务考核要求进行考核。第</w:t>
            </w:r>
            <w:r>
              <w:rPr>
                <w:rFonts w:hint="eastAsia" w:ascii="宋体" w:hAnsi="宋体" w:cs="宋体"/>
                <w:color w:val="000000"/>
                <w:kern w:val="0"/>
                <w:sz w:val="24"/>
              </w:rPr>
              <w:t>三期（三个月）服务</w:t>
            </w:r>
            <w:r>
              <w:rPr>
                <w:rFonts w:hint="eastAsia" w:ascii="宋体" w:hAnsi="宋体" w:eastAsia="宋体" w:cs="宋体"/>
                <w:color w:val="000000"/>
                <w:kern w:val="0"/>
                <w:sz w:val="24"/>
              </w:rPr>
              <w:t>考核得分在80分以上（含80分）的视为季度考核合格。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3" w:type="pct"/>
            <w:vAlign w:val="center"/>
          </w:tcPr>
          <w:p>
            <w:pPr>
              <w:wordWrap w:val="0"/>
              <w:spacing w:line="360" w:lineRule="auto"/>
              <w:jc w:val="center"/>
              <w:rPr>
                <w:rFonts w:ascii="宋体" w:hAnsi="宋体" w:eastAsia="宋体" w:cs="宋体"/>
                <w:color w:val="000000"/>
                <w:kern w:val="0"/>
                <w:sz w:val="24"/>
              </w:rPr>
            </w:pPr>
            <w:r>
              <w:rPr>
                <w:rFonts w:hint="eastAsia" w:ascii="宋体" w:hAnsi="宋体" w:cs="宋体"/>
                <w:color w:val="000000"/>
                <w:kern w:val="0"/>
                <w:sz w:val="24"/>
              </w:rPr>
              <w:t>4</w:t>
            </w:r>
          </w:p>
        </w:tc>
        <w:tc>
          <w:tcPr>
            <w:tcW w:w="4396" w:type="pct"/>
            <w:vAlign w:val="center"/>
          </w:tcPr>
          <w:p>
            <w:pPr>
              <w:wordWrap w:val="0"/>
              <w:spacing w:line="360" w:lineRule="auto"/>
              <w:jc w:val="left"/>
              <w:rPr>
                <w:rFonts w:ascii="宋体" w:hAnsi="宋体" w:eastAsia="宋体" w:cs="宋体"/>
                <w:color w:val="000000"/>
                <w:kern w:val="0"/>
                <w:sz w:val="24"/>
              </w:rPr>
            </w:pPr>
            <w:r>
              <w:rPr>
                <w:rFonts w:hint="eastAsia" w:ascii="宋体" w:hAnsi="宋体" w:cs="宋体"/>
                <w:color w:val="000000"/>
                <w:sz w:val="24"/>
                <w:shd w:val="clear" w:color="auto" w:fill="FFFFFF"/>
              </w:rPr>
              <w:t>第四个服务周期（三个月）结束后的15天内成交人应提交季度运维服务材料，采购人</w:t>
            </w:r>
            <w:r>
              <w:rPr>
                <w:rFonts w:hint="eastAsia" w:ascii="宋体" w:hAnsi="宋体" w:eastAsia="宋体" w:cs="宋体"/>
                <w:color w:val="000000"/>
                <w:kern w:val="0"/>
                <w:sz w:val="24"/>
              </w:rPr>
              <w:t>根据运维服务考核要求进行考核。第</w:t>
            </w:r>
            <w:r>
              <w:rPr>
                <w:rFonts w:hint="eastAsia" w:ascii="宋体" w:hAnsi="宋体" w:cs="宋体"/>
                <w:color w:val="000000"/>
                <w:kern w:val="0"/>
                <w:sz w:val="24"/>
              </w:rPr>
              <w:t>四期（三个月）服务</w:t>
            </w:r>
            <w:r>
              <w:rPr>
                <w:rFonts w:hint="eastAsia" w:ascii="宋体" w:hAnsi="宋体" w:eastAsia="宋体" w:cs="宋体"/>
                <w:color w:val="000000"/>
                <w:kern w:val="0"/>
                <w:sz w:val="24"/>
              </w:rPr>
              <w:t>考核得分在80分以上（含80分）的视为季度考核合格</w:t>
            </w:r>
            <w:r>
              <w:rPr>
                <w:rFonts w:hint="eastAsia" w:ascii="宋体" w:hAnsi="宋体" w:cs="宋体"/>
                <w:color w:val="000000"/>
                <w:kern w:val="0"/>
                <w:sz w:val="24"/>
              </w:rPr>
              <w:t>；年度考核评分（即四期服务平均分数）</w:t>
            </w:r>
            <w:r>
              <w:rPr>
                <w:rFonts w:hint="eastAsia" w:ascii="宋体" w:hAnsi="宋体" w:eastAsia="宋体" w:cs="宋体"/>
                <w:color w:val="000000"/>
                <w:kern w:val="0"/>
                <w:sz w:val="24"/>
              </w:rPr>
              <w:t>在80分以上（含80分）的视为</w:t>
            </w:r>
            <w:r>
              <w:rPr>
                <w:rFonts w:hint="eastAsia" w:ascii="宋体" w:hAnsi="宋体" w:cs="宋体"/>
                <w:color w:val="000000"/>
                <w:kern w:val="0"/>
                <w:sz w:val="24"/>
              </w:rPr>
              <w:t>项目最终验收</w:t>
            </w:r>
            <w:r>
              <w:rPr>
                <w:rFonts w:hint="eastAsia" w:ascii="宋体" w:hAnsi="宋体" w:eastAsia="宋体" w:cs="宋体"/>
                <w:color w:val="000000"/>
                <w:kern w:val="0"/>
                <w:sz w:val="24"/>
              </w:rPr>
              <w:t>考核合格。</w:t>
            </w:r>
          </w:p>
        </w:tc>
      </w:tr>
    </w:tbl>
    <w:p>
      <w:pPr>
        <w:wordWrap w:val="0"/>
        <w:spacing w:line="360" w:lineRule="auto"/>
        <w:jc w:val="left"/>
        <w:outlineLvl w:val="2"/>
        <w:rPr>
          <w:rFonts w:ascii="宋体" w:hAnsi="宋体" w:eastAsia="宋体" w:cs="宋体"/>
          <w:b/>
          <w:bCs/>
          <w:color w:val="000000"/>
          <w:kern w:val="0"/>
          <w:sz w:val="24"/>
        </w:rPr>
      </w:pPr>
      <w:r>
        <w:rPr>
          <w:rFonts w:hint="eastAsia" w:ascii="宋体" w:hAnsi="宋体" w:eastAsia="宋体" w:cs="宋体"/>
          <w:b/>
          <w:bCs/>
          <w:color w:val="000000"/>
          <w:kern w:val="0"/>
          <w:sz w:val="24"/>
        </w:rPr>
        <w:t>7.支付方式</w:t>
      </w:r>
    </w:p>
    <w:p>
      <w:pPr>
        <w:pStyle w:val="2"/>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合同款项的支付应按照招标文件的规定进行，具体如下：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1649"/>
        <w:gridCol w:w="5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Pr>
          <w:p>
            <w:pPr>
              <w:rPr>
                <w:rFonts w:hint="eastAsia" w:ascii="宋体" w:hAnsi="宋体" w:cs="宋体"/>
                <w:color w:val="000000"/>
                <w:sz w:val="24"/>
                <w:shd w:val="clear" w:color="auto" w:fill="FFFFFF"/>
                <w:vertAlign w:val="baseline"/>
              </w:rPr>
            </w:pPr>
            <w:r>
              <w:rPr>
                <w:rFonts w:hint="eastAsia" w:ascii="宋体" w:hAnsi="宋体" w:cs="宋体"/>
                <w:color w:val="000000"/>
                <w:sz w:val="24"/>
                <w:shd w:val="clear" w:color="auto" w:fill="FFFFFF"/>
                <w:lang w:val="en-US" w:eastAsia="zh-CN"/>
              </w:rPr>
              <w:t>支付期次</w:t>
            </w:r>
          </w:p>
        </w:tc>
        <w:tc>
          <w:tcPr>
            <w:tcW w:w="1649" w:type="dxa"/>
          </w:tcPr>
          <w:p>
            <w:pPr>
              <w:rPr>
                <w:rFonts w:hint="eastAsia" w:ascii="宋体" w:hAnsi="宋体" w:cs="宋体"/>
                <w:color w:val="000000"/>
                <w:sz w:val="24"/>
                <w:shd w:val="clear" w:color="auto" w:fill="FFFFFF"/>
                <w:vertAlign w:val="baseline"/>
              </w:rPr>
            </w:pPr>
            <w:r>
              <w:rPr>
                <w:rFonts w:hint="eastAsia" w:ascii="宋体" w:hAnsi="宋体" w:cs="宋体"/>
                <w:color w:val="000000"/>
                <w:sz w:val="24"/>
                <w:shd w:val="clear" w:color="auto" w:fill="FFFFFF"/>
                <w:lang w:val="en-US" w:eastAsia="zh-CN"/>
              </w:rPr>
              <w:t>支付比例(%)</w:t>
            </w:r>
          </w:p>
        </w:tc>
        <w:tc>
          <w:tcPr>
            <w:tcW w:w="5093" w:type="dxa"/>
          </w:tcPr>
          <w:p>
            <w:pPr>
              <w:rPr>
                <w:rFonts w:hint="eastAsia" w:ascii="宋体" w:hAnsi="宋体" w:cs="宋体"/>
                <w:color w:val="000000"/>
                <w:sz w:val="24"/>
                <w:shd w:val="clear" w:color="auto" w:fill="FFFFFF"/>
                <w:vertAlign w:val="baseline"/>
              </w:rPr>
            </w:pPr>
            <w:r>
              <w:rPr>
                <w:rFonts w:hint="eastAsia" w:ascii="宋体" w:hAnsi="宋体" w:cs="宋体"/>
                <w:color w:val="000000"/>
                <w:sz w:val="24"/>
                <w:shd w:val="clear" w:color="auto" w:fill="FFFFFF"/>
                <w:lang w:val="en-US" w:eastAsia="zh-CN"/>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Align w:val="center"/>
          </w:tcPr>
          <w:p>
            <w:pPr>
              <w:jc w:val="center"/>
              <w:rPr>
                <w:rFonts w:hint="eastAsia" w:ascii="宋体" w:hAnsi="宋体" w:cs="宋体"/>
                <w:color w:val="000000"/>
                <w:sz w:val="24"/>
                <w:shd w:val="clear" w:color="auto" w:fill="FFFFFF"/>
                <w:vertAlign w:val="baseline"/>
              </w:rPr>
            </w:pPr>
            <w:r>
              <w:rPr>
                <w:rFonts w:hint="eastAsia" w:ascii="宋体" w:hAnsi="宋体" w:cs="宋体"/>
                <w:color w:val="000000"/>
                <w:sz w:val="24"/>
                <w:shd w:val="clear" w:color="auto" w:fill="FFFFFF"/>
                <w:lang w:val="en-US" w:eastAsia="zh-CN"/>
              </w:rPr>
              <w:t>1</w:t>
            </w:r>
          </w:p>
        </w:tc>
        <w:tc>
          <w:tcPr>
            <w:tcW w:w="1649" w:type="dxa"/>
            <w:vAlign w:val="center"/>
          </w:tcPr>
          <w:p>
            <w:pPr>
              <w:jc w:val="center"/>
              <w:rPr>
                <w:rFonts w:hint="eastAsia" w:ascii="宋体" w:hAnsi="宋体" w:cs="宋体"/>
                <w:color w:val="000000"/>
                <w:sz w:val="24"/>
                <w:shd w:val="clear" w:color="auto" w:fill="FFFFFF"/>
                <w:vertAlign w:val="baseline"/>
              </w:rPr>
            </w:pPr>
            <w:r>
              <w:rPr>
                <w:rFonts w:hint="eastAsia" w:ascii="宋体" w:hAnsi="宋体" w:cs="宋体"/>
                <w:color w:val="000000"/>
                <w:sz w:val="24"/>
                <w:shd w:val="clear" w:color="auto" w:fill="FFFFFF"/>
                <w:lang w:val="en-US" w:eastAsia="zh-CN"/>
              </w:rPr>
              <w:t>25</w:t>
            </w:r>
          </w:p>
        </w:tc>
        <w:tc>
          <w:tcPr>
            <w:tcW w:w="5093" w:type="dxa"/>
            <w:vAlign w:val="top"/>
          </w:tcPr>
          <w:p>
            <w:pPr>
              <w:pStyle w:val="16"/>
              <w:widowControl w:val="0"/>
              <w:ind w:firstLine="504" w:firstLineChars="200"/>
              <w:jc w:val="both"/>
              <w:rPr>
                <w:rFonts w:hint="eastAsia" w:ascii="宋体" w:hAnsi="宋体" w:cs="宋体" w:eastAsiaTheme="minorEastAsia"/>
                <w:color w:val="000000"/>
                <w:sz w:val="24"/>
                <w:shd w:val="clear" w:color="auto" w:fill="FFFFFF"/>
                <w:lang w:val="en-US" w:eastAsia="zh-Hans"/>
              </w:rPr>
            </w:pPr>
            <w:r>
              <w:rPr>
                <w:rFonts w:hint="default" w:ascii="宋体" w:hAnsi="宋体" w:eastAsia="宋体" w:cs="宋体"/>
                <w:snapToGrid w:val="0"/>
                <w:spacing w:val="6"/>
                <w:sz w:val="24"/>
                <w:szCs w:val="24"/>
              </w:rPr>
              <w:t>第一个服务周期（三个月）考核合格后15个工作日内支付，</w:t>
            </w:r>
            <w:r>
              <w:rPr>
                <w:rFonts w:hint="eastAsia" w:ascii="宋体" w:hAnsi="宋体" w:eastAsia="宋体" w:cs="宋体"/>
                <w:snapToGrid w:val="0"/>
                <w:spacing w:val="6"/>
                <w:sz w:val="24"/>
                <w:szCs w:val="24"/>
                <w:lang w:eastAsia="zh-CN"/>
              </w:rPr>
              <w:t>成交人</w:t>
            </w:r>
            <w:r>
              <w:rPr>
                <w:rFonts w:hint="default" w:ascii="宋体" w:hAnsi="宋体" w:eastAsia="宋体" w:cs="宋体"/>
                <w:snapToGrid w:val="0"/>
                <w:spacing w:val="6"/>
                <w:sz w:val="24"/>
                <w:szCs w:val="24"/>
              </w:rPr>
              <w:t>申请支付款项时应向采购人提供符合国家规定的增值税发票，达到付款条件起15日，支付合同总金额的25.00%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Align w:val="center"/>
          </w:tcPr>
          <w:p>
            <w:pPr>
              <w:jc w:val="center"/>
              <w:rPr>
                <w:rFonts w:hint="eastAsia" w:ascii="宋体" w:hAnsi="宋体" w:cs="宋体" w:eastAsiaTheme="minorEastAsia"/>
                <w:color w:val="000000"/>
                <w:sz w:val="24"/>
                <w:shd w:val="clear" w:color="auto" w:fill="FFFFFF"/>
                <w:vertAlign w:val="baseline"/>
                <w:lang w:val="en-US" w:eastAsia="zh-CN"/>
              </w:rPr>
            </w:pPr>
            <w:r>
              <w:rPr>
                <w:rFonts w:hint="eastAsia" w:ascii="宋体" w:hAnsi="宋体" w:cs="宋体"/>
                <w:color w:val="000000"/>
                <w:sz w:val="24"/>
                <w:shd w:val="clear" w:color="auto" w:fill="FFFFFF"/>
                <w:vertAlign w:val="baseline"/>
                <w:lang w:val="en-US" w:eastAsia="zh-CN"/>
              </w:rPr>
              <w:t>2</w:t>
            </w:r>
          </w:p>
        </w:tc>
        <w:tc>
          <w:tcPr>
            <w:tcW w:w="1649" w:type="dxa"/>
            <w:vAlign w:val="center"/>
          </w:tcPr>
          <w:p>
            <w:pPr>
              <w:jc w:val="center"/>
              <w:rPr>
                <w:rFonts w:hint="eastAsia" w:ascii="宋体" w:hAnsi="宋体" w:cs="宋体"/>
                <w:color w:val="000000"/>
                <w:sz w:val="24"/>
                <w:shd w:val="clear" w:color="auto" w:fill="FFFFFF"/>
                <w:vertAlign w:val="baseline"/>
              </w:rPr>
            </w:pPr>
            <w:r>
              <w:rPr>
                <w:rFonts w:hint="eastAsia" w:ascii="宋体" w:hAnsi="宋体" w:cs="宋体"/>
                <w:color w:val="000000"/>
                <w:sz w:val="24"/>
                <w:shd w:val="clear" w:color="auto" w:fill="FFFFFF"/>
                <w:lang w:val="en-US" w:eastAsia="zh-CN"/>
              </w:rPr>
              <w:t>25</w:t>
            </w:r>
          </w:p>
        </w:tc>
        <w:tc>
          <w:tcPr>
            <w:tcW w:w="5093" w:type="dxa"/>
            <w:vAlign w:val="top"/>
          </w:tcPr>
          <w:p>
            <w:pPr>
              <w:pStyle w:val="16"/>
              <w:widowControl w:val="0"/>
              <w:jc w:val="both"/>
              <w:rPr>
                <w:rFonts w:hint="eastAsia" w:ascii="宋体" w:hAnsi="宋体" w:cs="宋体" w:eastAsiaTheme="minorEastAsia"/>
                <w:color w:val="000000"/>
                <w:sz w:val="24"/>
                <w:shd w:val="clear" w:color="auto" w:fill="FFFFFF"/>
                <w:lang w:val="en-US" w:eastAsia="zh-Hans"/>
              </w:rPr>
            </w:pPr>
            <w:r>
              <w:rPr>
                <w:rFonts w:ascii="宋体" w:hAnsi="宋体" w:eastAsia="宋体" w:cs="宋体"/>
                <w:snapToGrid w:val="0"/>
                <w:spacing w:val="6"/>
                <w:sz w:val="24"/>
                <w:szCs w:val="24"/>
              </w:rPr>
              <w:t xml:space="preserve">  </w:t>
            </w:r>
            <w:r>
              <w:rPr>
                <w:rFonts w:hint="default" w:ascii="宋体" w:hAnsi="宋体" w:eastAsia="宋体" w:cs="宋体"/>
                <w:snapToGrid w:val="0"/>
                <w:spacing w:val="6"/>
                <w:sz w:val="24"/>
                <w:szCs w:val="24"/>
              </w:rPr>
              <w:t>第二个服务周期（三个月）考核合格后15个工作日内支付，</w:t>
            </w:r>
            <w:r>
              <w:rPr>
                <w:rFonts w:hint="eastAsia" w:ascii="宋体" w:hAnsi="宋体" w:eastAsia="宋体" w:cs="宋体"/>
                <w:snapToGrid w:val="0"/>
                <w:spacing w:val="6"/>
                <w:sz w:val="24"/>
                <w:szCs w:val="24"/>
                <w:lang w:eastAsia="zh-CN"/>
              </w:rPr>
              <w:t>成交人</w:t>
            </w:r>
            <w:r>
              <w:rPr>
                <w:rFonts w:hint="default" w:ascii="宋体" w:hAnsi="宋体" w:eastAsia="宋体" w:cs="宋体"/>
                <w:snapToGrid w:val="0"/>
                <w:spacing w:val="6"/>
                <w:sz w:val="24"/>
                <w:szCs w:val="24"/>
              </w:rPr>
              <w:t>申请支付款项时应向采购人提供符合国家规定的增值税发票，达到付款条件起15日，支付合同总金额的25.00%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Align w:val="center"/>
          </w:tcPr>
          <w:p>
            <w:pPr>
              <w:jc w:val="center"/>
              <w:rPr>
                <w:rFonts w:hint="eastAsia" w:ascii="宋体" w:hAnsi="宋体" w:cs="宋体" w:eastAsiaTheme="minorEastAsia"/>
                <w:color w:val="000000"/>
                <w:sz w:val="24"/>
                <w:shd w:val="clear" w:color="auto" w:fill="FFFFFF"/>
                <w:vertAlign w:val="baseline"/>
                <w:lang w:val="en-US" w:eastAsia="zh-CN"/>
              </w:rPr>
            </w:pPr>
            <w:r>
              <w:rPr>
                <w:rFonts w:hint="eastAsia" w:ascii="宋体" w:hAnsi="宋体" w:cs="宋体"/>
                <w:color w:val="000000"/>
                <w:sz w:val="24"/>
                <w:shd w:val="clear" w:color="auto" w:fill="FFFFFF"/>
                <w:vertAlign w:val="baseline"/>
                <w:lang w:val="en-US" w:eastAsia="zh-CN"/>
              </w:rPr>
              <w:t>3</w:t>
            </w:r>
          </w:p>
        </w:tc>
        <w:tc>
          <w:tcPr>
            <w:tcW w:w="1649" w:type="dxa"/>
            <w:vAlign w:val="center"/>
          </w:tcPr>
          <w:p>
            <w:pPr>
              <w:jc w:val="center"/>
              <w:rPr>
                <w:rFonts w:hint="eastAsia" w:ascii="宋体" w:hAnsi="宋体" w:cs="宋体"/>
                <w:color w:val="000000"/>
                <w:sz w:val="24"/>
                <w:shd w:val="clear" w:color="auto" w:fill="FFFFFF"/>
                <w:vertAlign w:val="baseline"/>
              </w:rPr>
            </w:pPr>
            <w:r>
              <w:rPr>
                <w:rFonts w:hint="eastAsia" w:ascii="宋体" w:hAnsi="宋体" w:cs="宋体"/>
                <w:color w:val="000000"/>
                <w:sz w:val="24"/>
                <w:shd w:val="clear" w:color="auto" w:fill="FFFFFF"/>
                <w:lang w:val="en-US" w:eastAsia="zh-CN"/>
              </w:rPr>
              <w:t>25</w:t>
            </w:r>
          </w:p>
        </w:tc>
        <w:tc>
          <w:tcPr>
            <w:tcW w:w="5093" w:type="dxa"/>
            <w:vAlign w:val="top"/>
          </w:tcPr>
          <w:p>
            <w:pPr>
              <w:pStyle w:val="16"/>
              <w:widowControl w:val="0"/>
              <w:jc w:val="both"/>
              <w:rPr>
                <w:rFonts w:hint="eastAsia" w:ascii="宋体" w:hAnsi="宋体" w:cs="宋体" w:eastAsiaTheme="minorEastAsia"/>
                <w:color w:val="000000"/>
                <w:sz w:val="24"/>
                <w:shd w:val="clear" w:color="auto" w:fill="FFFFFF"/>
                <w:lang w:val="en-US" w:eastAsia="zh-Hans"/>
              </w:rPr>
            </w:pPr>
            <w:r>
              <w:rPr>
                <w:rFonts w:ascii="宋体" w:hAnsi="宋体" w:eastAsia="宋体" w:cs="宋体"/>
                <w:snapToGrid w:val="0"/>
                <w:spacing w:val="6"/>
                <w:sz w:val="24"/>
                <w:szCs w:val="24"/>
              </w:rPr>
              <w:t xml:space="preserve">  </w:t>
            </w:r>
            <w:r>
              <w:rPr>
                <w:rFonts w:hint="default" w:ascii="宋体" w:hAnsi="宋体" w:eastAsia="宋体" w:cs="宋体"/>
                <w:snapToGrid w:val="0"/>
                <w:spacing w:val="6"/>
                <w:sz w:val="24"/>
                <w:szCs w:val="24"/>
              </w:rPr>
              <w:t>第三个服务周期（三个月）考核合格后15个工作日内支付，</w:t>
            </w:r>
            <w:r>
              <w:rPr>
                <w:rFonts w:hint="eastAsia" w:ascii="宋体" w:hAnsi="宋体" w:eastAsia="宋体" w:cs="宋体"/>
                <w:snapToGrid w:val="0"/>
                <w:spacing w:val="6"/>
                <w:sz w:val="24"/>
                <w:szCs w:val="24"/>
                <w:lang w:eastAsia="zh-CN"/>
              </w:rPr>
              <w:t>成交人</w:t>
            </w:r>
            <w:r>
              <w:rPr>
                <w:rFonts w:hint="default" w:ascii="宋体" w:hAnsi="宋体" w:eastAsia="宋体" w:cs="宋体"/>
                <w:snapToGrid w:val="0"/>
                <w:spacing w:val="6"/>
                <w:sz w:val="24"/>
                <w:szCs w:val="24"/>
              </w:rPr>
              <w:t>申请支付款项时应向采购人提供符合国家规定的增值税发票，达到付款条件起15日，支付合同总金额的25.00%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Align w:val="center"/>
          </w:tcPr>
          <w:p>
            <w:pPr>
              <w:jc w:val="center"/>
              <w:rPr>
                <w:rFonts w:hint="eastAsia" w:ascii="宋体" w:hAnsi="宋体" w:cs="宋体" w:eastAsiaTheme="minorEastAsia"/>
                <w:color w:val="000000"/>
                <w:sz w:val="24"/>
                <w:shd w:val="clear" w:color="auto" w:fill="FFFFFF"/>
                <w:vertAlign w:val="baseline"/>
                <w:lang w:val="en-US" w:eastAsia="zh-CN"/>
              </w:rPr>
            </w:pPr>
            <w:r>
              <w:rPr>
                <w:rFonts w:hint="eastAsia" w:ascii="宋体" w:hAnsi="宋体" w:cs="宋体"/>
                <w:color w:val="000000"/>
                <w:sz w:val="24"/>
                <w:shd w:val="clear" w:color="auto" w:fill="FFFFFF"/>
                <w:vertAlign w:val="baseline"/>
                <w:lang w:val="en-US" w:eastAsia="zh-CN"/>
              </w:rPr>
              <w:t>4</w:t>
            </w:r>
          </w:p>
        </w:tc>
        <w:tc>
          <w:tcPr>
            <w:tcW w:w="1649" w:type="dxa"/>
            <w:vAlign w:val="center"/>
          </w:tcPr>
          <w:p>
            <w:pPr>
              <w:jc w:val="center"/>
              <w:rPr>
                <w:rFonts w:hint="eastAsia" w:ascii="宋体" w:hAnsi="宋体" w:cs="宋体"/>
                <w:color w:val="000000"/>
                <w:sz w:val="24"/>
                <w:shd w:val="clear" w:color="auto" w:fill="FFFFFF"/>
                <w:vertAlign w:val="baseline"/>
              </w:rPr>
            </w:pPr>
            <w:r>
              <w:rPr>
                <w:rFonts w:hint="eastAsia" w:ascii="宋体" w:hAnsi="宋体" w:cs="宋体"/>
                <w:color w:val="000000"/>
                <w:sz w:val="24"/>
                <w:shd w:val="clear" w:color="auto" w:fill="FFFFFF"/>
                <w:lang w:val="en-US" w:eastAsia="zh-CN"/>
              </w:rPr>
              <w:t>25</w:t>
            </w:r>
          </w:p>
        </w:tc>
        <w:tc>
          <w:tcPr>
            <w:tcW w:w="5093" w:type="dxa"/>
            <w:vAlign w:val="top"/>
          </w:tcPr>
          <w:p>
            <w:pPr>
              <w:keepNext w:val="0"/>
              <w:keepLines w:val="0"/>
              <w:pageBreakBefore w:val="0"/>
              <w:widowControl w:val="0"/>
              <w:kinsoku/>
              <w:wordWrap/>
              <w:overflowPunct/>
              <w:topLinePunct w:val="0"/>
              <w:autoSpaceDE/>
              <w:autoSpaceDN/>
              <w:bidi w:val="0"/>
              <w:adjustRightInd/>
              <w:snapToGrid/>
              <w:spacing w:line="228" w:lineRule="auto"/>
              <w:textAlignment w:val="auto"/>
              <w:rPr>
                <w:rFonts w:hint="eastAsia" w:ascii="宋体" w:hAnsi="宋体" w:cs="宋体" w:eastAsiaTheme="minorEastAsia"/>
                <w:color w:val="000000"/>
                <w:kern w:val="2"/>
                <w:sz w:val="24"/>
                <w:szCs w:val="24"/>
                <w:shd w:val="clear" w:color="auto" w:fill="FFFFFF"/>
                <w:lang w:val="en-US" w:eastAsia="zh-CN" w:bidi="ar-SA"/>
              </w:rPr>
            </w:pPr>
            <w:r>
              <w:rPr>
                <w:rFonts w:hint="eastAsia" w:ascii="宋体" w:hAnsi="宋体" w:eastAsia="宋体" w:cs="宋体"/>
                <w:color w:val="auto"/>
                <w:spacing w:val="6"/>
                <w:sz w:val="24"/>
                <w:szCs w:val="24"/>
              </w:rPr>
              <w:t xml:space="preserve">   </w:t>
            </w:r>
            <w:r>
              <w:rPr>
                <w:rFonts w:ascii="宋体" w:hAnsi="宋体" w:eastAsia="宋体" w:cs="宋体"/>
                <w:color w:val="auto"/>
                <w:spacing w:val="6"/>
                <w:sz w:val="24"/>
                <w:szCs w:val="24"/>
              </w:rPr>
              <w:t>第四个服务周期（三个月）考核合格后15个工作日内支付，</w:t>
            </w:r>
            <w:r>
              <w:rPr>
                <w:rFonts w:hint="eastAsia" w:ascii="宋体" w:hAnsi="宋体" w:eastAsia="宋体" w:cs="宋体"/>
                <w:color w:val="auto"/>
                <w:spacing w:val="6"/>
                <w:sz w:val="24"/>
                <w:szCs w:val="24"/>
                <w:lang w:eastAsia="zh-CN"/>
              </w:rPr>
              <w:t>成交人</w:t>
            </w:r>
            <w:r>
              <w:rPr>
                <w:rFonts w:ascii="宋体" w:hAnsi="宋体" w:eastAsia="宋体" w:cs="宋体"/>
                <w:color w:val="auto"/>
                <w:spacing w:val="6"/>
                <w:sz w:val="24"/>
                <w:szCs w:val="24"/>
              </w:rPr>
              <w:t>申请支付款项时应向采购人提供符合国家规定的增值税发票，达到付款条件起15日，支付合同总金额的25.00%</w:t>
            </w:r>
          </w:p>
        </w:tc>
      </w:tr>
    </w:tbl>
    <w:p>
      <w:pPr>
        <w:rPr>
          <w:rFonts w:hint="eastAsia" w:ascii="宋体" w:hAnsi="宋体" w:cs="宋体"/>
          <w:color w:val="000000"/>
          <w:sz w:val="24"/>
          <w:shd w:val="clear" w:color="auto" w:fill="FFFFFF"/>
        </w:rPr>
      </w:pPr>
    </w:p>
    <w:p>
      <w:pPr>
        <w:pStyle w:val="2"/>
        <w:rPr>
          <w:rFonts w:hint="eastAsia" w:ascii="宋体" w:hAnsi="宋体" w:cs="宋体"/>
          <w:color w:val="000000"/>
          <w:sz w:val="24"/>
          <w:shd w:val="clear" w:color="auto" w:fill="FFFFFF"/>
        </w:rPr>
      </w:pPr>
    </w:p>
    <w:p>
      <w:pPr>
        <w:pStyle w:val="9"/>
        <w:wordWrap w:val="0"/>
        <w:spacing w:beforeAutospacing="0" w:afterAutospacing="0" w:line="360" w:lineRule="auto"/>
        <w:outlineLvl w:val="2"/>
        <w:rPr>
          <w:rFonts w:ascii="宋体" w:hAnsi="宋体" w:eastAsia="宋体" w:cs="宋体"/>
          <w:b/>
          <w:bCs/>
          <w:color w:val="000000"/>
        </w:rPr>
      </w:pPr>
      <w:r>
        <w:rPr>
          <w:rFonts w:hint="eastAsia" w:ascii="宋体" w:hAnsi="宋体" w:eastAsia="宋体" w:cs="宋体"/>
          <w:b/>
          <w:bCs/>
          <w:color w:val="000000"/>
          <w:shd w:val="clear" w:color="auto" w:fill="FFFFFF"/>
        </w:rPr>
        <w:t>8.违约责任</w:t>
      </w:r>
    </w:p>
    <w:p>
      <w:pPr>
        <w:pStyle w:val="9"/>
        <w:wordWrap w:val="0"/>
        <w:spacing w:beforeAutospacing="0" w:afterAutospacing="0"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8.1因成交人原因造成采购合同无法按时签订，视为成交人违约，成交人违约对采购人造成的损失的，需另行支付相应的赔偿。</w:t>
      </w:r>
    </w:p>
    <w:p>
      <w:pPr>
        <w:pStyle w:val="9"/>
        <w:wordWrap w:val="0"/>
        <w:spacing w:beforeAutospacing="0" w:afterAutospacing="0"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8.2在签定采购合同之后，成交人要求解除合同的，视为成交人违约，对采购人造成的损失的，成交人需支付相应的赔偿。</w:t>
      </w:r>
    </w:p>
    <w:p>
      <w:pPr>
        <w:pStyle w:val="9"/>
        <w:wordWrap w:val="0"/>
        <w:spacing w:beforeAutospacing="0" w:afterAutospacing="0"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8.3因成交人原因发生重大质量事故，除依约承担赔偿责任外，还将按有关质量管理办法规定执行。同时，采购人有权保留更换成交人的权利，并报相关行政主管部门处罚。</w:t>
      </w:r>
    </w:p>
    <w:p>
      <w:pPr>
        <w:pStyle w:val="9"/>
        <w:wordWrap w:val="0"/>
        <w:spacing w:beforeAutospacing="0" w:afterAutospacing="0"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8.4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9"/>
        <w:wordWrap w:val="0"/>
        <w:spacing w:beforeAutospacing="0" w:afterAutospacing="0" w:line="360" w:lineRule="auto"/>
        <w:ind w:firstLine="480" w:firstLineChars="200"/>
        <w:rPr>
          <w:rFonts w:ascii="宋体" w:hAnsi="宋体" w:eastAsia="宋体" w:cs="宋体"/>
          <w:color w:val="000000"/>
        </w:rPr>
      </w:pPr>
      <w:r>
        <w:rPr>
          <w:rFonts w:hint="eastAsia" w:ascii="宋体" w:hAnsi="宋体" w:cs="宋体"/>
          <w:color w:val="000000"/>
          <w:shd w:val="clear" w:color="auto" w:fill="FFFFFF"/>
        </w:rPr>
        <w:t>8.5在明确违约责任后，成交人应在接到书面通知书起七天内支付违约金、赔偿金等。</w:t>
      </w:r>
    </w:p>
    <w:p>
      <w:pPr>
        <w:pStyle w:val="9"/>
        <w:wordWrap w:val="0"/>
        <w:spacing w:beforeAutospacing="0" w:afterAutospacing="0" w:line="360" w:lineRule="auto"/>
        <w:outlineLvl w:val="2"/>
        <w:rPr>
          <w:rFonts w:ascii="宋体" w:hAnsi="宋体" w:eastAsia="宋体" w:cs="宋体"/>
          <w:b/>
          <w:bCs/>
          <w:color w:val="000000"/>
        </w:rPr>
      </w:pPr>
      <w:r>
        <w:rPr>
          <w:rFonts w:hint="eastAsia" w:ascii="宋体" w:hAnsi="宋体" w:cs="宋体"/>
          <w:b/>
          <w:bCs/>
          <w:color w:val="000000"/>
          <w:shd w:val="clear" w:color="auto" w:fill="FFFFFF"/>
        </w:rPr>
        <w:t>9</w:t>
      </w:r>
      <w:r>
        <w:rPr>
          <w:rFonts w:hint="eastAsia" w:ascii="宋体" w:hAnsi="宋体" w:eastAsia="宋体" w:cs="宋体"/>
          <w:b/>
          <w:bCs/>
          <w:color w:val="000000"/>
          <w:shd w:val="clear" w:color="auto" w:fill="FFFFFF"/>
        </w:rPr>
        <w:t>.知识产权</w:t>
      </w:r>
    </w:p>
    <w:p>
      <w:pPr>
        <w:pStyle w:val="9"/>
        <w:wordWrap w:val="0"/>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cs="宋体"/>
          <w:color w:val="000000"/>
          <w:shd w:val="clear" w:color="auto" w:fill="FFFFFF"/>
        </w:rPr>
        <w:t>成交人</w:t>
      </w:r>
      <w:r>
        <w:rPr>
          <w:rFonts w:hint="eastAsia" w:ascii="宋体" w:hAnsi="宋体" w:eastAsia="宋体" w:cs="宋体"/>
          <w:color w:val="000000"/>
          <w:shd w:val="clear" w:color="auto" w:fill="FFFFFF"/>
        </w:rPr>
        <w:t>须保障采购人在使用服务或其任何一部分时不受到第三方关于侵犯知识产权的指控。如果任何第三方提出侵权指控与采购人无关，人须与第三方交涉并承担可能发生的责任与一切费用。如采购人因此而遭致损失的，人应赔偿该损失。</w:t>
      </w:r>
    </w:p>
    <w:p>
      <w:pPr>
        <w:pStyle w:val="9"/>
        <w:wordWrap w:val="0"/>
        <w:spacing w:beforeAutospacing="0" w:afterAutospacing="0" w:line="360" w:lineRule="auto"/>
        <w:outlineLvl w:val="2"/>
        <w:rPr>
          <w:rFonts w:ascii="宋体" w:hAnsi="宋体" w:eastAsia="宋体" w:cs="宋体"/>
          <w:b/>
          <w:bCs/>
          <w:color w:val="000000"/>
        </w:rPr>
      </w:pPr>
      <w:r>
        <w:rPr>
          <w:rFonts w:hint="eastAsia" w:ascii="宋体" w:hAnsi="宋体" w:cs="宋体"/>
          <w:b/>
          <w:bCs/>
          <w:color w:val="000000"/>
          <w:shd w:val="clear" w:color="auto" w:fill="FFFFFF"/>
        </w:rPr>
        <w:t>10.</w:t>
      </w:r>
      <w:r>
        <w:rPr>
          <w:rFonts w:hint="eastAsia" w:ascii="宋体" w:hAnsi="宋体" w:eastAsia="宋体" w:cs="宋体"/>
          <w:b/>
          <w:bCs/>
          <w:color w:val="000000"/>
          <w:shd w:val="clear" w:color="auto" w:fill="FFFFFF"/>
        </w:rPr>
        <w:t>仲裁、诉讼条款</w:t>
      </w:r>
    </w:p>
    <w:p>
      <w:pPr>
        <w:pStyle w:val="9"/>
        <w:wordWrap w:val="0"/>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因采购或与采购合同有关的一切事项发生争议，由采购人和成交供应商双方友好协商解决。协商不成的，任何一方均可向采购人所在地人民法院提起诉讼来解决争议。</w:t>
      </w:r>
    </w:p>
    <w:p>
      <w:pPr>
        <w:pStyle w:val="9"/>
        <w:wordWrap w:val="0"/>
        <w:spacing w:beforeAutospacing="0" w:afterAutospacing="0" w:line="360" w:lineRule="auto"/>
        <w:outlineLvl w:val="2"/>
        <w:rPr>
          <w:rFonts w:ascii="宋体" w:hAnsi="宋体" w:eastAsia="宋体" w:cs="宋体"/>
          <w:b/>
          <w:bCs/>
          <w:color w:val="000000"/>
        </w:rPr>
      </w:pPr>
      <w:r>
        <w:rPr>
          <w:rFonts w:hint="eastAsia" w:ascii="宋体" w:hAnsi="宋体" w:eastAsia="宋体" w:cs="宋体"/>
          <w:b/>
          <w:bCs/>
          <w:color w:val="000000"/>
          <w:shd w:val="clear" w:color="auto" w:fill="FFFFFF"/>
        </w:rPr>
        <w:t>1</w:t>
      </w:r>
      <w:r>
        <w:rPr>
          <w:rFonts w:hint="eastAsia" w:ascii="宋体" w:hAnsi="宋体" w:cs="宋体"/>
          <w:b/>
          <w:bCs/>
          <w:color w:val="000000"/>
          <w:shd w:val="clear" w:color="auto" w:fill="FFFFFF"/>
        </w:rPr>
        <w:t>1</w:t>
      </w:r>
      <w:r>
        <w:rPr>
          <w:rFonts w:hint="eastAsia" w:ascii="宋体" w:hAnsi="宋体" w:eastAsia="宋体" w:cs="宋体"/>
          <w:b/>
          <w:bCs/>
          <w:color w:val="000000"/>
          <w:shd w:val="clear" w:color="auto" w:fill="FFFFFF"/>
        </w:rPr>
        <w:t>.保密条款</w:t>
      </w:r>
    </w:p>
    <w:p>
      <w:pPr>
        <w:pStyle w:val="9"/>
        <w:wordWrap w:val="0"/>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cs="宋体"/>
          <w:color w:val="000000"/>
          <w:shd w:val="clear" w:color="auto" w:fill="FFFFFF"/>
        </w:rPr>
        <w:t>成交人</w:t>
      </w:r>
      <w:r>
        <w:rPr>
          <w:rFonts w:hint="eastAsia" w:ascii="宋体" w:hAnsi="宋体" w:eastAsia="宋体" w:cs="宋体"/>
          <w:color w:val="000000"/>
          <w:shd w:val="clear" w:color="auto" w:fill="FFFFFF"/>
        </w:rPr>
        <w:t>须严格遵守国家安全保密有关规定，严禁泄露信息。对涉密信息不询问，不议论、不散布</w:t>
      </w:r>
      <w:bookmarkStart w:id="0" w:name="_GoBack"/>
      <w:bookmarkEnd w:id="0"/>
      <w:r>
        <w:rPr>
          <w:rFonts w:hint="eastAsia" w:ascii="宋体" w:hAnsi="宋体" w:eastAsia="宋体" w:cs="宋体"/>
          <w:color w:val="000000"/>
          <w:shd w:val="clear" w:color="auto" w:fill="FFFFFF"/>
        </w:rPr>
        <w:t>，对涉密信息载体应当登记注册、集中管理、统一处理、杜绝失、泄密现象发生。如出现违约，并造成后果的，将依据相关法律，追究其法律责任。</w:t>
      </w:r>
    </w:p>
    <w:p>
      <w:pPr>
        <w:pStyle w:val="9"/>
        <w:wordWrap w:val="0"/>
        <w:spacing w:beforeAutospacing="0" w:afterAutospacing="0" w:line="360" w:lineRule="auto"/>
        <w:outlineLvl w:val="1"/>
        <w:rPr>
          <w:rFonts w:ascii="宋体" w:hAnsi="宋体" w:eastAsia="宋体" w:cs="宋体"/>
          <w:b/>
          <w:bCs/>
          <w:color w:val="000000"/>
        </w:rPr>
      </w:pPr>
      <w:r>
        <w:rPr>
          <w:rFonts w:hint="eastAsia" w:ascii="宋体" w:hAnsi="宋体" w:eastAsia="宋体" w:cs="宋体"/>
          <w:b/>
          <w:bCs/>
          <w:color w:val="000000"/>
        </w:rPr>
        <w:t>四、其他事项要求</w:t>
      </w:r>
    </w:p>
    <w:p>
      <w:pPr>
        <w:adjustRightInd w:val="0"/>
        <w:spacing w:line="360" w:lineRule="auto"/>
        <w:outlineLvl w:val="2"/>
        <w:rPr>
          <w:rFonts w:hint="eastAsia" w:ascii="宋体" w:hAnsi="宋体" w:cs="宋体" w:eastAsiaTheme="minorEastAsia"/>
          <w:sz w:val="24"/>
          <w:lang w:eastAsia="zh-CN"/>
        </w:rPr>
      </w:pPr>
      <w:r>
        <w:rPr>
          <w:rFonts w:hint="eastAsia" w:ascii="宋体" w:hAnsi="宋体" w:cs="宋体"/>
          <w:sz w:val="24"/>
        </w:rPr>
        <w:t>2.由于成交人承担提出优化</w:t>
      </w:r>
      <w:r>
        <w:rPr>
          <w:rFonts w:hint="eastAsia" w:ascii="宋体" w:hAnsi="宋体" w:cs="宋体"/>
          <w:sz w:val="24"/>
          <w:lang w:eastAsia="zh-CN"/>
        </w:rPr>
        <w:t>、维修</w:t>
      </w:r>
      <w:r>
        <w:rPr>
          <w:rFonts w:hint="eastAsia" w:ascii="宋体" w:hAnsi="宋体" w:cs="宋体"/>
          <w:sz w:val="24"/>
        </w:rPr>
        <w:t>或升级改造等合理化建议的责任和义务，故成交人应在自</w:t>
      </w:r>
      <w:r>
        <w:rPr>
          <w:rFonts w:hint="eastAsia" w:ascii="宋体" w:hAnsi="宋体" w:cs="宋体"/>
          <w:sz w:val="24"/>
          <w:lang w:eastAsia="zh-CN"/>
        </w:rPr>
        <w:t>2020</w:t>
      </w:r>
      <w:r>
        <w:rPr>
          <w:rFonts w:hint="eastAsia" w:ascii="宋体" w:hAnsi="宋体" w:cs="宋体"/>
          <w:sz w:val="24"/>
        </w:rPr>
        <w:t>年1月1日起至今具有承接无线电管理技术设施建站</w:t>
      </w:r>
      <w:r>
        <w:rPr>
          <w:rFonts w:hint="eastAsia" w:ascii="宋体" w:hAnsi="宋体" w:cs="宋体"/>
          <w:sz w:val="24"/>
          <w:lang w:eastAsia="zh-CN"/>
        </w:rPr>
        <w:t>、维修、</w:t>
      </w:r>
      <w:r>
        <w:rPr>
          <w:rFonts w:hint="eastAsia" w:ascii="宋体" w:hAnsi="宋体" w:cs="宋体"/>
          <w:sz w:val="24"/>
        </w:rPr>
        <w:t>升级改造</w:t>
      </w:r>
      <w:r>
        <w:rPr>
          <w:rFonts w:hint="eastAsia" w:ascii="宋体" w:hAnsi="宋体" w:cs="宋体"/>
          <w:sz w:val="24"/>
          <w:lang w:eastAsia="zh-CN"/>
        </w:rPr>
        <w:t>或测试验证</w:t>
      </w:r>
      <w:r>
        <w:rPr>
          <w:rFonts w:hint="eastAsia" w:ascii="宋体" w:hAnsi="宋体" w:cs="宋体"/>
          <w:sz w:val="24"/>
        </w:rPr>
        <w:t>类项目的相关经验，以便更好的服务于本项目</w:t>
      </w:r>
      <w:r>
        <w:rPr>
          <w:rFonts w:hint="eastAsia" w:ascii="宋体" w:hAnsi="宋体" w:cs="宋体"/>
          <w:sz w:val="24"/>
          <w:lang w:eastAsia="zh-CN"/>
        </w:rPr>
        <w:t>。</w:t>
      </w:r>
    </w:p>
    <w:p>
      <w:pPr>
        <w:adjustRightInd w:val="0"/>
        <w:spacing w:line="360" w:lineRule="auto"/>
        <w:outlineLvl w:val="2"/>
        <w:rPr>
          <w:rFonts w:ascii="宋体" w:hAnsi="宋体" w:cs="宋体"/>
          <w:sz w:val="24"/>
        </w:rPr>
      </w:pPr>
      <w:r>
        <w:rPr>
          <w:rFonts w:hint="eastAsia" w:ascii="宋体" w:hAnsi="宋体" w:cs="宋体"/>
          <w:sz w:val="24"/>
        </w:rPr>
        <w:t>3.成交人应在自</w:t>
      </w:r>
      <w:r>
        <w:rPr>
          <w:rFonts w:hint="eastAsia" w:ascii="宋体" w:hAnsi="宋体" w:cs="宋体"/>
          <w:sz w:val="24"/>
          <w:lang w:eastAsia="zh-CN"/>
        </w:rPr>
        <w:t>2020</w:t>
      </w:r>
      <w:r>
        <w:rPr>
          <w:rFonts w:hint="eastAsia" w:ascii="宋体" w:hAnsi="宋体" w:cs="宋体"/>
          <w:sz w:val="24"/>
        </w:rPr>
        <w:t>年1月1日起至今具有承接无线电管理技术设施运维项目的相关经验，以便更好的服务于本项目。</w:t>
      </w:r>
    </w:p>
    <w:p>
      <w:pPr>
        <w:pStyle w:val="2"/>
        <w:adjustRightInd w:val="0"/>
        <w:spacing w:line="360" w:lineRule="auto"/>
        <w:ind w:firstLine="0" w:firstLineChars="0"/>
        <w:rPr>
          <w:rFonts w:ascii="宋体" w:hAnsi="宋体" w:cs="宋体"/>
          <w:sz w:val="24"/>
        </w:rPr>
      </w:pPr>
    </w:p>
    <w:p>
      <w:pPr>
        <w:adjustRightInd w:val="0"/>
        <w:spacing w:line="360" w:lineRule="auto"/>
        <w:rPr>
          <w:rFonts w:ascii="宋体" w:hAnsi="宋体" w:eastAsia="宋体" w:cs="宋体"/>
          <w:b/>
          <w:bCs/>
          <w:i/>
          <w:iCs/>
          <w:color w:val="000000"/>
          <w:kern w:val="0"/>
          <w:sz w:val="24"/>
          <w:u w:val="double"/>
          <w:shd w:val="clear" w:color="auto" w:fill="FFFFFF"/>
        </w:rPr>
      </w:pPr>
      <w:r>
        <w:rPr>
          <w:rFonts w:hint="eastAsia" w:ascii="宋体" w:hAnsi="宋体" w:eastAsia="宋体" w:cs="宋体"/>
          <w:b/>
          <w:bCs/>
          <w:i/>
          <w:iCs/>
          <w:color w:val="000000"/>
          <w:kern w:val="0"/>
          <w:sz w:val="24"/>
          <w:u w:val="double"/>
          <w:shd w:val="clear" w:color="auto" w:fill="FFFFFF"/>
        </w:rPr>
        <w:t>注：以上均为不可或缺的实质性要求与条件，资质审查阶段将对参选单位是否符合上述内容进行确认（具体需提供材料见附件二），如有不满足将直接淘汰，不予进入比价环节。</w:t>
      </w: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AxYmFlZTQ3YTQ3YWFlZTZkYWI0Y2I0YWI2Y2EzNTcifQ=="/>
  </w:docVars>
  <w:rsids>
    <w:rsidRoot w:val="00980DCC"/>
    <w:rsid w:val="000F7C58"/>
    <w:rsid w:val="00294725"/>
    <w:rsid w:val="002F3EBF"/>
    <w:rsid w:val="00307E79"/>
    <w:rsid w:val="00392A2E"/>
    <w:rsid w:val="0057294F"/>
    <w:rsid w:val="00590E47"/>
    <w:rsid w:val="008524E0"/>
    <w:rsid w:val="00980DCC"/>
    <w:rsid w:val="00A53643"/>
    <w:rsid w:val="00AD69ED"/>
    <w:rsid w:val="00B95CE1"/>
    <w:rsid w:val="02922C89"/>
    <w:rsid w:val="02D54924"/>
    <w:rsid w:val="03D976C6"/>
    <w:rsid w:val="06336531"/>
    <w:rsid w:val="07B216D8"/>
    <w:rsid w:val="08B31BA6"/>
    <w:rsid w:val="09A6701A"/>
    <w:rsid w:val="0A1641A0"/>
    <w:rsid w:val="0A2837BA"/>
    <w:rsid w:val="0B84338B"/>
    <w:rsid w:val="0C0B3D36"/>
    <w:rsid w:val="0C1B311F"/>
    <w:rsid w:val="0C236700"/>
    <w:rsid w:val="0CB67574"/>
    <w:rsid w:val="0D4D690E"/>
    <w:rsid w:val="0EF97BEC"/>
    <w:rsid w:val="0F696B20"/>
    <w:rsid w:val="0F76123D"/>
    <w:rsid w:val="10501A8E"/>
    <w:rsid w:val="115832F0"/>
    <w:rsid w:val="11AD4B23"/>
    <w:rsid w:val="12850115"/>
    <w:rsid w:val="130A23C8"/>
    <w:rsid w:val="133E75E1"/>
    <w:rsid w:val="14973315"/>
    <w:rsid w:val="167F0FF0"/>
    <w:rsid w:val="16DC2230"/>
    <w:rsid w:val="17B03166"/>
    <w:rsid w:val="18FA2EDF"/>
    <w:rsid w:val="196B7938"/>
    <w:rsid w:val="1A6D6BAE"/>
    <w:rsid w:val="1AA72BF2"/>
    <w:rsid w:val="1CA13D9D"/>
    <w:rsid w:val="1D772D50"/>
    <w:rsid w:val="1D9E02DC"/>
    <w:rsid w:val="1FB913FE"/>
    <w:rsid w:val="244D65B8"/>
    <w:rsid w:val="264B6524"/>
    <w:rsid w:val="269F0C21"/>
    <w:rsid w:val="28D538B1"/>
    <w:rsid w:val="2916341D"/>
    <w:rsid w:val="2AF06FFB"/>
    <w:rsid w:val="2CD0422B"/>
    <w:rsid w:val="2D6B7AAF"/>
    <w:rsid w:val="2FBE65BC"/>
    <w:rsid w:val="30694840"/>
    <w:rsid w:val="33EB11D5"/>
    <w:rsid w:val="36B129D7"/>
    <w:rsid w:val="374775D7"/>
    <w:rsid w:val="3AE315CD"/>
    <w:rsid w:val="3B1B2B15"/>
    <w:rsid w:val="3B572D45"/>
    <w:rsid w:val="3C1419FA"/>
    <w:rsid w:val="3DB039E8"/>
    <w:rsid w:val="3DBA6615"/>
    <w:rsid w:val="3E5F71BC"/>
    <w:rsid w:val="3FB86B84"/>
    <w:rsid w:val="424A0521"/>
    <w:rsid w:val="42A95371"/>
    <w:rsid w:val="43D23F8D"/>
    <w:rsid w:val="44227E13"/>
    <w:rsid w:val="468123C6"/>
    <w:rsid w:val="472B7988"/>
    <w:rsid w:val="479A54F2"/>
    <w:rsid w:val="494726E8"/>
    <w:rsid w:val="4A421E6C"/>
    <w:rsid w:val="4A6A13C3"/>
    <w:rsid w:val="4A7638C4"/>
    <w:rsid w:val="4ADB5E1D"/>
    <w:rsid w:val="4C5B7215"/>
    <w:rsid w:val="4D1D096E"/>
    <w:rsid w:val="4F4026F2"/>
    <w:rsid w:val="50760AC1"/>
    <w:rsid w:val="511D718F"/>
    <w:rsid w:val="51505C0D"/>
    <w:rsid w:val="53035F10"/>
    <w:rsid w:val="55AF2380"/>
    <w:rsid w:val="55DFB794"/>
    <w:rsid w:val="58EB7B73"/>
    <w:rsid w:val="5A0F7891"/>
    <w:rsid w:val="5A805270"/>
    <w:rsid w:val="5C375744"/>
    <w:rsid w:val="5E1C432A"/>
    <w:rsid w:val="5EE4309A"/>
    <w:rsid w:val="5F182D44"/>
    <w:rsid w:val="5F93468B"/>
    <w:rsid w:val="60EE1FAE"/>
    <w:rsid w:val="62210161"/>
    <w:rsid w:val="622F4911"/>
    <w:rsid w:val="63302D52"/>
    <w:rsid w:val="64BA248B"/>
    <w:rsid w:val="64CA2D32"/>
    <w:rsid w:val="65AD48B9"/>
    <w:rsid w:val="65C0474F"/>
    <w:rsid w:val="67010561"/>
    <w:rsid w:val="6A4502BD"/>
    <w:rsid w:val="6A7C4ACE"/>
    <w:rsid w:val="6AFE1987"/>
    <w:rsid w:val="6B542CF9"/>
    <w:rsid w:val="6BFE31BA"/>
    <w:rsid w:val="6CF272CA"/>
    <w:rsid w:val="6F0F0799"/>
    <w:rsid w:val="723839D1"/>
    <w:rsid w:val="763B75EC"/>
    <w:rsid w:val="78632E2A"/>
    <w:rsid w:val="7A1940E8"/>
    <w:rsid w:val="7A444A03"/>
    <w:rsid w:val="7A7B26AD"/>
    <w:rsid w:val="7AF1296F"/>
    <w:rsid w:val="7B237FEE"/>
    <w:rsid w:val="7B83585A"/>
    <w:rsid w:val="7C793F78"/>
    <w:rsid w:val="7C9B7203"/>
    <w:rsid w:val="7D873368"/>
    <w:rsid w:val="7FFB7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4">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5">
    <w:name w:val="heading 5"/>
    <w:basedOn w:val="1"/>
    <w:next w:val="1"/>
    <w:autoRedefine/>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paragraph" w:styleId="6">
    <w:name w:val="heading 6"/>
    <w:basedOn w:val="1"/>
    <w:next w:val="1"/>
    <w:autoRedefine/>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autoRedefine/>
    <w:qFormat/>
    <w:uiPriority w:val="99"/>
    <w:pPr>
      <w:ind w:firstLine="420" w:firstLineChars="200"/>
    </w:pPr>
  </w:style>
  <w:style w:type="paragraph" w:styleId="7">
    <w:name w:val="footer"/>
    <w:basedOn w:val="1"/>
    <w:link w:val="15"/>
    <w:autoRedefine/>
    <w:qFormat/>
    <w:uiPriority w:val="0"/>
    <w:pPr>
      <w:tabs>
        <w:tab w:val="center" w:pos="4153"/>
        <w:tab w:val="right" w:pos="8306"/>
      </w:tabs>
      <w:snapToGrid w:val="0"/>
      <w:jc w:val="left"/>
    </w:pPr>
    <w:rPr>
      <w:sz w:val="18"/>
      <w:szCs w:val="18"/>
    </w:rPr>
  </w:style>
  <w:style w:type="paragraph" w:styleId="8">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rFonts w:cs="Times New Roman"/>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rPr>
  </w:style>
  <w:style w:type="character" w:customStyle="1" w:styleId="14">
    <w:name w:val="页眉 Char"/>
    <w:basedOn w:val="12"/>
    <w:link w:val="8"/>
    <w:autoRedefine/>
    <w:qFormat/>
    <w:uiPriority w:val="0"/>
    <w:rPr>
      <w:rFonts w:asciiTheme="minorHAnsi" w:hAnsiTheme="minorHAnsi" w:eastAsiaTheme="minorEastAsia" w:cstheme="minorBidi"/>
      <w:kern w:val="2"/>
      <w:sz w:val="18"/>
      <w:szCs w:val="18"/>
    </w:rPr>
  </w:style>
  <w:style w:type="character" w:customStyle="1" w:styleId="15">
    <w:name w:val="页脚 Char"/>
    <w:basedOn w:val="12"/>
    <w:link w:val="7"/>
    <w:autoRedefine/>
    <w:qFormat/>
    <w:uiPriority w:val="0"/>
    <w:rPr>
      <w:rFonts w:asciiTheme="minorHAnsi" w:hAnsiTheme="minorHAnsi" w:eastAsiaTheme="minorEastAsia" w:cstheme="minorBidi"/>
      <w:kern w:val="2"/>
      <w:sz w:val="18"/>
      <w:szCs w:val="18"/>
    </w:rPr>
  </w:style>
  <w:style w:type="paragraph" w:customStyle="1" w:styleId="16">
    <w:name w:val="null3"/>
    <w:autoRedefine/>
    <w:hidden/>
    <w:qFormat/>
    <w:uiPriority w:val="0"/>
    <w:rPr>
      <w:rFonts w:hint="eastAsia" w:asciiTheme="minorHAnsi" w:hAnsiTheme="minorHAnsi" w:eastAsiaTheme="minorEastAsia" w:cstheme="minorBidi"/>
      <w:lang w:val="en-US" w:eastAsia="zh-Hans"/>
    </w:rPr>
  </w:style>
  <w:style w:type="table" w:customStyle="1" w:styleId="1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25</Pages>
  <Words>2507</Words>
  <Characters>14293</Characters>
  <Lines>119</Lines>
  <Paragraphs>33</Paragraphs>
  <TotalTime>0</TotalTime>
  <ScaleCrop>false</ScaleCrop>
  <LinksUpToDate>false</LinksUpToDate>
  <CharactersWithSpaces>16767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2024-03-20T23:31:00Z</dcterms:created>
  <dc:creator>Administrator</dc:creator>
  <cp:lastModifiedBy>WPS</cp:lastModifiedBy>
  <dcterms:modified xsi:type="dcterms:W3CDTF">2024-05-11T02:37:09Z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977D4708B25643F9A697387895CAE738</vt:lpwstr>
  </property>
</Properties>
</file>